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media/image2.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Tabelacomgrade"/>
        <w:tblW w:w="9354"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267"/>
        <w:gridCol w:w="1701"/>
        <w:gridCol w:w="9"/>
        <w:gridCol w:w="421"/>
        <w:gridCol w:w="5956"/>
      </w:tblGrid>
      <w:tr>
        <w:trPr/>
        <w:tc>
          <w:tcPr>
            <w:tcW w:w="9354" w:type="dxa"/>
            <w:gridSpan w:val="5"/>
            <w:tcBorders>
              <w:top w:val="nil"/>
              <w:left w:val="nil"/>
              <w:bottom w:val="nil"/>
              <w:right w:val="nil"/>
            </w:tcBorders>
            <w:shd w:color="auto" w:fill="FFFFFF" w:themeFill="background1" w:val="clear"/>
          </w:tcPr>
          <w:p>
            <w:pPr>
              <w:pStyle w:val="Normal"/>
              <w:widowControl w:val="false"/>
              <w:spacing w:lineRule="auto" w:line="276" w:before="0" w:after="0"/>
              <w:ind w:right="-2" w:hanging="2"/>
              <w:jc w:val="center"/>
              <w:rPr>
                <w:sz w:val="22"/>
                <w:szCs w:val="22"/>
              </w:rPr>
            </w:pPr>
            <w:r>
              <w:rPr>
                <w:rFonts w:eastAsia="Times New Roman" w:cs="Times New Roman"/>
                <w:b/>
                <w:bCs/>
                <w:kern w:val="0"/>
                <w:sz w:val="22"/>
                <w:szCs w:val="22"/>
                <w:lang w:val="pt-BR" w:eastAsia="pt-BR" w:bidi="ar-SA"/>
              </w:rPr>
              <w:t xml:space="preserve">  </w:t>
            </w:r>
            <w:r>
              <w:rPr>
                <w:rFonts w:eastAsia="Times New Roman" w:cs="Times New Roman"/>
                <w:b/>
                <w:bCs/>
                <w:kern w:val="0"/>
                <w:sz w:val="22"/>
                <w:szCs w:val="22"/>
                <w:lang w:val="pt-BR" w:eastAsia="pt-BR" w:bidi="ar-SA"/>
              </w:rPr>
              <w:t>ESTUDO TÉCNICO PRELIMINAR (ETP)</w:t>
            </w:r>
          </w:p>
        </w:tc>
      </w:tr>
      <w:tr>
        <w:trPr/>
        <w:tc>
          <w:tcPr>
            <w:tcW w:w="9354" w:type="dxa"/>
            <w:gridSpan w:val="5"/>
            <w:tcBorders>
              <w:top w:val="nil"/>
              <w:left w:val="nil"/>
              <w:bottom w:val="nil"/>
              <w:right w:val="nil"/>
            </w:tcBorders>
            <w:shd w:color="auto" w:fill="365F91" w:themeFill="accent1" w:themeFillShade="bf" w:val="clear"/>
          </w:tcPr>
          <w:p>
            <w:pPr>
              <w:pStyle w:val="Normal"/>
              <w:widowControl w:val="false"/>
              <w:spacing w:lineRule="auto" w:line="276" w:before="0" w:after="0"/>
              <w:ind w:right="-2" w:hanging="2"/>
              <w:jc w:val="both"/>
              <w:rPr>
                <w:sz w:val="22"/>
                <w:szCs w:val="22"/>
              </w:rPr>
            </w:pPr>
            <w:r>
              <w:rPr>
                <w:rFonts w:eastAsia="Times New Roman" w:cs="Times New Roman"/>
                <w:b/>
                <w:bCs/>
                <w:color w:val="FFFFFF" w:themeColor="background1"/>
                <w:kern w:val="0"/>
                <w:sz w:val="22"/>
                <w:szCs w:val="22"/>
                <w:lang w:val="pt-BR" w:eastAsia="pt-BR" w:bidi="ar-SA"/>
              </w:rPr>
              <w:t>I - INFORMAÇÕES GERAIS</w:t>
            </w:r>
          </w:p>
        </w:tc>
      </w:tr>
      <w:tr>
        <w:trPr/>
        <w:tc>
          <w:tcPr>
            <w:tcW w:w="9354" w:type="dxa"/>
            <w:gridSpan w:val="5"/>
            <w:tcBorders>
              <w:top w:val="nil"/>
              <w:left w:val="nil"/>
              <w:bottom w:val="nil"/>
              <w:right w:val="nil"/>
            </w:tcBorders>
            <w:shd w:color="auto" w:fill="FFFFFF" w:themeFill="background1" w:val="clear"/>
          </w:tcPr>
          <w:p>
            <w:pPr>
              <w:pStyle w:val="Normal"/>
              <w:widowControl w:val="false"/>
              <w:spacing w:lineRule="auto" w:line="276" w:before="0" w:after="0"/>
              <w:ind w:right="-2" w:hanging="2"/>
              <w:jc w:val="both"/>
              <w:rPr>
                <w:b/>
                <w:bCs/>
                <w:sz w:val="20"/>
                <w:szCs w:val="20"/>
              </w:rPr>
            </w:pPr>
            <w:r>
              <w:rPr>
                <w:b/>
                <w:bCs/>
                <w:sz w:val="20"/>
                <w:szCs w:val="20"/>
              </w:rPr>
            </w:r>
          </w:p>
        </w:tc>
      </w:tr>
      <w:tr>
        <w:trPr/>
        <w:tc>
          <w:tcPr>
            <w:tcW w:w="2977" w:type="dxa"/>
            <w:gridSpan w:val="3"/>
            <w:tcBorders>
              <w:top w:val="single" w:sz="12" w:space="0" w:color="000000"/>
              <w:left w:val="single" w:sz="12" w:space="0" w:color="000000"/>
              <w:bottom w:val="nil"/>
              <w:right w:val="single" w:sz="12" w:space="0" w:color="000000"/>
            </w:tcBorders>
            <w:shd w:color="auto" w:fill="DBE5F1" w:themeFill="accent1" w:themeFillTint="33" w:val="clear"/>
          </w:tcPr>
          <w:p>
            <w:pPr>
              <w:pStyle w:val="ListParagraph"/>
              <w:widowControl w:val="false"/>
              <w:numPr>
                <w:ilvl w:val="0"/>
                <w:numId w:val="4"/>
              </w:numPr>
              <w:spacing w:lineRule="auto" w:line="276" w:before="0" w:after="0"/>
              <w:ind w:left="0" w:right="-2" w:firstLine="142"/>
              <w:contextualSpacing/>
              <w:jc w:val="both"/>
              <w:rPr>
                <w:rFonts w:eastAsia="SimSun"/>
                <w:b/>
                <w:bCs/>
                <w:kern w:val="2"/>
                <w:sz w:val="20"/>
                <w:szCs w:val="20"/>
                <w:lang w:eastAsia="zh-CN" w:bidi="hi-IN"/>
              </w:rPr>
            </w:pPr>
            <w:r>
              <w:rPr>
                <w:rFonts w:eastAsia="SimSun" w:cs="Times New Roman"/>
                <w:b/>
                <w:bCs/>
                <w:kern w:val="2"/>
                <w:sz w:val="20"/>
                <w:szCs w:val="20"/>
                <w:lang w:val="pt-BR" w:eastAsia="zh-CN" w:bidi="hi-IN"/>
              </w:rPr>
              <w:t>Número do Processo</w:t>
            </w:r>
          </w:p>
          <w:p>
            <w:pPr>
              <w:pStyle w:val="Normal"/>
              <w:widowControl w:val="false"/>
              <w:spacing w:lineRule="auto" w:line="276" w:before="0" w:after="0"/>
              <w:ind w:right="-2" w:firstLine="142"/>
              <w:jc w:val="both"/>
              <w:rPr>
                <w:sz w:val="20"/>
                <w:szCs w:val="20"/>
              </w:rPr>
            </w:pPr>
            <w:r>
              <w:rPr>
                <w:rFonts w:eastAsia="SimSun" w:cs="Times New Roman"/>
                <w:b/>
                <w:bCs/>
                <w:kern w:val="2"/>
                <w:sz w:val="20"/>
                <w:szCs w:val="20"/>
                <w:lang w:val="pt-BR" w:eastAsia="zh-CN" w:bidi="hi-IN"/>
              </w:rPr>
              <w:t>Administrativo:</w:t>
            </w:r>
          </w:p>
        </w:tc>
        <w:tc>
          <w:tcPr>
            <w:tcW w:w="6377" w:type="dxa"/>
            <w:gridSpan w:val="2"/>
            <w:tcBorders>
              <w:top w:val="single" w:sz="12" w:space="0" w:color="000000"/>
              <w:left w:val="single" w:sz="12" w:space="0" w:color="000000"/>
              <w:right w:val="single" w:sz="12" w:space="0" w:color="000000"/>
            </w:tcBorders>
            <w:shd w:color="auto" w:fill="FFFFFF" w:themeFill="background1" w:val="clear"/>
          </w:tcPr>
          <w:p>
            <w:pPr>
              <w:pStyle w:val="Normal"/>
              <w:widowControl w:val="false"/>
              <w:spacing w:lineRule="auto" w:line="276" w:before="0" w:after="0"/>
              <w:ind w:right="-2" w:firstLine="142"/>
              <w:jc w:val="both"/>
              <w:rPr>
                <w:sz w:val="20"/>
                <w:szCs w:val="20"/>
              </w:rPr>
            </w:pPr>
            <w:r>
              <w:rPr>
                <w:rFonts w:eastAsia="SimSun" w:cs="Times New Roman"/>
                <w:b/>
                <w:bCs/>
                <w:color w:val="FF0000"/>
                <w:kern w:val="2"/>
                <w:sz w:val="20"/>
                <w:szCs w:val="20"/>
                <w:lang w:val="pt-BR" w:eastAsia="zh-CN" w:bidi="hi-IN"/>
              </w:rPr>
              <w:t>_____</w:t>
            </w:r>
            <w:r>
              <w:rPr>
                <w:rFonts w:eastAsia="SimSun" w:cs="Times New Roman"/>
                <w:b/>
                <w:bCs/>
                <w:kern w:val="2"/>
                <w:sz w:val="20"/>
                <w:szCs w:val="20"/>
                <w:lang w:val="pt-BR" w:eastAsia="zh-CN" w:bidi="hi-IN"/>
              </w:rPr>
              <w:t>/2026</w:t>
            </w:r>
          </w:p>
        </w:tc>
      </w:tr>
      <w:tr>
        <w:trPr/>
        <w:tc>
          <w:tcPr>
            <w:tcW w:w="9354" w:type="dxa"/>
            <w:gridSpan w:val="5"/>
            <w:tcBorders>
              <w:left w:val="nil"/>
              <w:bottom w:val="nil"/>
              <w:right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r>
      <w:tr>
        <w:trPr>
          <w:trHeight w:val="191" w:hRule="atLeast"/>
        </w:trPr>
        <w:tc>
          <w:tcPr>
            <w:tcW w:w="2968" w:type="dxa"/>
            <w:gridSpan w:val="2"/>
            <w:tcBorders>
              <w:top w:val="nil"/>
              <w:left w:val="nil"/>
              <w:bottom w:val="nil"/>
            </w:tcBorders>
            <w:shd w:color="auto" w:fill="DBE5F1" w:themeFill="accent1" w:themeFillTint="33" w:val="clear"/>
          </w:tcPr>
          <w:p>
            <w:pPr>
              <w:pStyle w:val="Normal"/>
              <w:widowControl w:val="false"/>
              <w:spacing w:lineRule="auto" w:line="276" w:before="0" w:after="0"/>
              <w:ind w:right="-2" w:hanging="2"/>
              <w:jc w:val="both"/>
              <w:rPr>
                <w:sz w:val="20"/>
                <w:szCs w:val="20"/>
              </w:rPr>
            </w:pPr>
            <w:r>
              <w:rPr>
                <w:rFonts w:eastAsia="SimSun" w:cs="Times New Roman"/>
                <w:b/>
                <w:bCs/>
                <w:kern w:val="2"/>
                <w:sz w:val="20"/>
                <w:szCs w:val="20"/>
                <w:lang w:val="pt-BR" w:eastAsia="zh-CN" w:bidi="hi-IN"/>
              </w:rPr>
              <w:t>2. Setor Requisitante:</w:t>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rFonts w:eastAsia="SimSun"/>
                <w:bCs/>
                <w:kern w:val="2"/>
                <w:sz w:val="20"/>
                <w:szCs w:val="20"/>
                <w:lang w:eastAsia="zh-CN" w:bidi="hi-IN"/>
              </w:rPr>
            </w:pPr>
            <w:r>
              <w:rPr>
                <w:rFonts w:eastAsia="SimSun"/>
                <w:bCs/>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1 - SECRETARIA DE GOVERNO</w:t>
            </w:r>
          </w:p>
        </w:tc>
      </w:tr>
      <w:tr>
        <w:trPr>
          <w:trHeight w:val="203" w:hRule="atLeast"/>
        </w:trPr>
        <w:tc>
          <w:tcPr>
            <w:tcW w:w="2968" w:type="dxa"/>
            <w:gridSpan w:val="2"/>
            <w:vMerge w:val="restart"/>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rFonts w:eastAsia="SimSun"/>
                <w:b/>
                <w:bCs/>
                <w:color w:val="FF0000"/>
                <w:kern w:val="2"/>
                <w:sz w:val="20"/>
                <w:szCs w:val="20"/>
                <w:lang w:eastAsia="zh-CN" w:bidi="hi-IN"/>
              </w:rPr>
            </w:pPr>
            <w:r>
              <w:rPr>
                <w:rFonts w:eastAsia="SimSun"/>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2 - ASSESSORIA JURÍDICA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0"/>
                <w:szCs w:val="20"/>
              </w:rPr>
            </w:pPr>
            <w:r>
              <w:rPr>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3 - SECRETARIA DE ADMINISTRAÇÃO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rFonts w:eastAsia="SimSun"/>
                <w:b/>
                <w:bCs/>
                <w:color w:val="FF0000"/>
                <w:kern w:val="2"/>
                <w:sz w:val="20"/>
                <w:szCs w:val="20"/>
                <w:lang w:eastAsia="zh-CN" w:bidi="hi-IN"/>
              </w:rPr>
            </w:pPr>
            <w:r>
              <w:rPr>
                <w:rFonts w:eastAsia="SimSun"/>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4 - SECRETARIA DE PLANEJAMENTO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rFonts w:eastAsia="SimSun"/>
                <w:b/>
                <w:bCs/>
                <w:color w:val="FF0000"/>
                <w:kern w:val="2"/>
                <w:sz w:val="20"/>
                <w:szCs w:val="20"/>
                <w:lang w:eastAsia="zh-CN" w:bidi="hi-IN"/>
              </w:rPr>
            </w:pPr>
            <w:r>
              <w:rPr>
                <w:rFonts w:eastAsia="SimSun"/>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5 - SECRETARIA DE FAZENDA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0"/>
                <w:szCs w:val="20"/>
              </w:rPr>
            </w:pPr>
            <w:r>
              <w:rPr>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6 - SECRETARIA DE SAÚDE</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0"/>
                <w:szCs w:val="20"/>
              </w:rPr>
            </w:pPr>
            <w:r>
              <w:rPr>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7 - SECRETARIA DE EDUCAÇÃO, CULTURA E DESPORTO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0"/>
                <w:szCs w:val="20"/>
              </w:rPr>
            </w:pPr>
            <w:r>
              <w:rPr>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8 - SECRETARIA DO MEIO AMBIENTE E REC. HÍDRICOS</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0"/>
                <w:szCs w:val="20"/>
              </w:rPr>
            </w:pPr>
            <w:r>
              <w:rPr>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9 - SECRETARIA DE OBRAS, SERV. E DES. URBANO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0"/>
                <w:szCs w:val="20"/>
              </w:rPr>
            </w:pPr>
            <w:r>
              <w:rPr>
                <w:rFonts w:eastAsia="Times New Roman" w:cs="Times New Roman"/>
                <w:kern w:val="0"/>
                <w:sz w:val="20"/>
                <w:szCs w:val="20"/>
                <w:lang w:val="pt-BR" w:eastAsia="pt-BR" w:bidi="ar-SA"/>
              </w:rPr>
              <w:t>X</w:t>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10 - SECRETARIA DE ASSISTÊNCIA SOCIAL</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rFonts w:eastAsia="SimSun"/>
                <w:b/>
                <w:bCs/>
                <w:color w:val="FF0000"/>
                <w:kern w:val="2"/>
                <w:sz w:val="20"/>
                <w:szCs w:val="20"/>
                <w:lang w:eastAsia="zh-CN" w:bidi="hi-IN"/>
              </w:rPr>
            </w:pPr>
            <w:r>
              <w:rPr>
                <w:rFonts w:eastAsia="SimSun"/>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11 - SECRETARIA DE DESENVOLVIMENTO ECONÔMICO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rFonts w:eastAsia="SimSun"/>
                <w:bCs/>
                <w:color w:val="FF0000"/>
                <w:kern w:val="2"/>
                <w:sz w:val="20"/>
                <w:szCs w:val="20"/>
                <w:lang w:eastAsia="zh-CN" w:bidi="hi-IN"/>
              </w:rPr>
            </w:pPr>
            <w:r>
              <w:rPr>
                <w:rFonts w:eastAsia="SimSun"/>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12 - SECRETARIA DE AGRICULTURA E PECUÁRIA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rFonts w:eastAsia="SimSun"/>
                <w:b/>
                <w:bCs/>
                <w:color w:val="FF0000"/>
                <w:kern w:val="2"/>
                <w:sz w:val="20"/>
                <w:szCs w:val="20"/>
                <w:lang w:eastAsia="zh-CN" w:bidi="hi-IN"/>
              </w:rPr>
            </w:pPr>
            <w:r>
              <w:rPr>
                <w:rFonts w:eastAsia="SimSun"/>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SimSun" w:cs="Times New Roman"/>
                <w:kern w:val="2"/>
                <w:sz w:val="20"/>
                <w:szCs w:val="20"/>
                <w:lang w:val="pt-BR" w:eastAsia="zh-CN" w:bidi="hi-IN"/>
              </w:rPr>
              <w:t>13 - SECRETARIA DE POLÍTICA HABITACIONAL</w:t>
            </w:r>
          </w:p>
        </w:tc>
      </w:tr>
      <w:tr>
        <w:trPr/>
        <w:tc>
          <w:tcPr>
            <w:tcW w:w="9354" w:type="dxa"/>
            <w:gridSpan w:val="5"/>
            <w:tcBorders>
              <w:top w:val="nil"/>
              <w:left w:val="nil"/>
              <w:bottom w:val="nil"/>
              <w:right w:val="nil"/>
            </w:tcBorders>
            <w:shd w:color="auto" w:fill="FFFFFF" w:themeFill="background1"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r>
      <w:tr>
        <w:trPr/>
        <w:tc>
          <w:tcPr>
            <w:tcW w:w="2977" w:type="dxa"/>
            <w:gridSpan w:val="3"/>
            <w:tcBorders>
              <w:top w:val="nil"/>
              <w:left w:val="nil"/>
              <w:bottom w:val="nil"/>
              <w:right w:val="nil"/>
            </w:tcBorders>
            <w:shd w:color="auto" w:fill="DBE5F1" w:themeFill="accent1" w:themeFillTint="33" w:val="clear"/>
          </w:tcPr>
          <w:p>
            <w:pPr>
              <w:pStyle w:val="Normal"/>
              <w:widowControl w:val="false"/>
              <w:spacing w:lineRule="auto" w:line="276" w:before="0" w:after="0"/>
              <w:ind w:right="-2" w:hanging="2"/>
              <w:jc w:val="both"/>
              <w:rPr>
                <w:sz w:val="20"/>
                <w:szCs w:val="20"/>
              </w:rPr>
            </w:pPr>
            <w:r>
              <w:rPr>
                <w:rFonts w:eastAsia="SimSun" w:cs="Times New Roman"/>
                <w:b/>
                <w:bCs/>
                <w:kern w:val="2"/>
                <w:sz w:val="20"/>
                <w:szCs w:val="20"/>
                <w:lang w:val="pt-BR" w:eastAsia="zh-CN" w:bidi="hi-IN"/>
              </w:rPr>
              <w:t>3. Equipe de Planejamento da  Contratação:</w:t>
            </w:r>
          </w:p>
        </w:tc>
        <w:tc>
          <w:tcPr>
            <w:tcW w:w="6377" w:type="dxa"/>
            <w:gridSpan w:val="2"/>
            <w:tcBorders>
              <w:top w:val="nil"/>
              <w:left w:val="nil"/>
              <w:bottom w:val="nil"/>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0"/>
                <w:szCs w:val="20"/>
              </w:rPr>
            </w:pPr>
            <w:r>
              <w:rPr>
                <w:rFonts w:eastAsia="Times New Roman" w:cs="Times New Roman"/>
                <w:kern w:val="0"/>
                <w:sz w:val="20"/>
                <w:szCs w:val="20"/>
                <w:lang w:val="pt-BR" w:eastAsia="pt-BR" w:bidi="ar-SA"/>
              </w:rPr>
              <w:t>Rosiane Cristina Vieira Néia Storti</w:t>
            </w:r>
          </w:p>
          <w:p>
            <w:pPr>
              <w:pStyle w:val="Normal"/>
              <w:widowControl w:val="false"/>
              <w:tabs>
                <w:tab w:val="clear" w:pos="720"/>
                <w:tab w:val="right" w:pos="9071" w:leader="none"/>
              </w:tabs>
              <w:spacing w:before="0" w:after="0"/>
              <w:ind w:right="-2" w:hanging="2"/>
              <w:jc w:val="both"/>
              <w:textAlignment w:val="baseline"/>
              <w:rPr>
                <w:sz w:val="20"/>
                <w:szCs w:val="20"/>
              </w:rPr>
            </w:pPr>
            <w:r>
              <w:rPr>
                <w:rFonts w:eastAsia="Times New Roman" w:cs="Times New Roman"/>
                <w:kern w:val="0"/>
                <w:sz w:val="20"/>
                <w:szCs w:val="20"/>
                <w:lang w:val="pt-BR" w:eastAsia="pt-BR" w:bidi="ar-SA"/>
              </w:rPr>
              <w:t>Cirlei Socorro Justo dos Santos</w:t>
            </w:r>
          </w:p>
        </w:tc>
      </w:tr>
      <w:tr>
        <w:trPr/>
        <w:tc>
          <w:tcPr>
            <w:tcW w:w="9354" w:type="dxa"/>
            <w:gridSpan w:val="5"/>
            <w:tcBorders>
              <w:top w:val="nil"/>
              <w:left w:val="nil"/>
              <w:bottom w:val="nil"/>
              <w:right w:val="nil"/>
            </w:tcBorders>
            <w:shd w:color="auto" w:fill="FFFFFF" w:themeFill="background1" w:val="clear"/>
          </w:tcPr>
          <w:p>
            <w:pPr>
              <w:pStyle w:val="Normal"/>
              <w:widowControl w:val="false"/>
              <w:spacing w:lineRule="auto" w:line="276" w:before="0" w:after="0"/>
              <w:ind w:right="-2" w:hanging="0"/>
              <w:jc w:val="both"/>
              <w:rPr>
                <w:rFonts w:eastAsia="SimSun"/>
                <w:b/>
                <w:bCs/>
                <w:kern w:val="2"/>
                <w:sz w:val="20"/>
                <w:szCs w:val="20"/>
                <w:lang w:eastAsia="zh-CN" w:bidi="hi-IN"/>
              </w:rPr>
            </w:pPr>
            <w:r>
              <w:rPr>
                <w:rFonts w:eastAsia="SimSun"/>
                <w:b/>
                <w:bCs/>
                <w:kern w:val="2"/>
                <w:sz w:val="20"/>
                <w:szCs w:val="20"/>
                <w:lang w:eastAsia="zh-CN" w:bidi="hi-IN"/>
              </w:rPr>
            </w:r>
          </w:p>
        </w:tc>
      </w:tr>
      <w:tr>
        <w:trPr/>
        <w:tc>
          <w:tcPr>
            <w:tcW w:w="1267" w:type="dxa"/>
            <w:tcBorders>
              <w:top w:val="nil"/>
              <w:left w:val="nil"/>
              <w:bottom w:val="nil"/>
              <w:right w:val="nil"/>
            </w:tcBorders>
            <w:shd w:color="auto" w:fill="DBE5F1" w:themeFill="accent1" w:themeFillTint="33" w:val="clear"/>
          </w:tcPr>
          <w:p>
            <w:pPr>
              <w:pStyle w:val="Normal"/>
              <w:widowControl w:val="false"/>
              <w:spacing w:lineRule="auto" w:line="276" w:before="0" w:after="0"/>
              <w:ind w:right="-2" w:hanging="2"/>
              <w:jc w:val="both"/>
              <w:rPr>
                <w:sz w:val="20"/>
                <w:szCs w:val="20"/>
              </w:rPr>
            </w:pPr>
            <w:r>
              <w:rPr>
                <w:rFonts w:eastAsia="SimSun" w:cs="Times New Roman"/>
                <w:b/>
                <w:bCs/>
                <w:kern w:val="2"/>
                <w:sz w:val="20"/>
                <w:szCs w:val="20"/>
                <w:lang w:val="pt-BR" w:eastAsia="zh-CN" w:bidi="hi-IN"/>
              </w:rPr>
              <w:t>4. Objeto:</w:t>
            </w:r>
          </w:p>
        </w:tc>
        <w:tc>
          <w:tcPr>
            <w:tcW w:w="8087" w:type="dxa"/>
            <w:gridSpan w:val="4"/>
            <w:tcBorders>
              <w:top w:val="nil"/>
              <w:left w:val="nil"/>
              <w:bottom w:val="nil"/>
              <w:right w:val="nil"/>
            </w:tcBorders>
            <w:shd w:color="auto" w:fill="FFFFFF" w:themeFill="background1" w:val="clear"/>
          </w:tcPr>
          <w:p>
            <w:pPr>
              <w:pStyle w:val="Normal"/>
              <w:widowControl w:val="false"/>
              <w:ind w:hanging="0"/>
              <w:jc w:val="left"/>
              <w:rPr/>
            </w:pPr>
            <w:r>
              <w:rPr>
                <w:rStyle w:val="Fontepargpadro"/>
                <w:rFonts w:eastAsia="Times New Roman" w:cs="Times New Roman"/>
                <w:b w:val="false"/>
                <w:bCs w:val="false"/>
                <w:kern w:val="0"/>
                <w:sz w:val="22"/>
                <w:szCs w:val="22"/>
                <w:lang w:val="pt-BR" w:eastAsia="pt-BR" w:bidi="ar-SA"/>
              </w:rPr>
              <w:t>AQUISIÇÃO DE KITS DE LANCHES PRONTOS PARA CONSUMO IMEDIATO, DESTINADOS AO ATENDIMENTO DOS USUÁRIOS EM ATIVIDADES SOCIOASSISTENCIAIS, OFICINAS, CURSOS DE QUALIFICAÇÃO PROFISSIONAL, PAIF, ATIVIDADES COM IDOSOS E ENCONTRO COM VÍTIMAS DE VIOLÊNCIA DOMÉSTICA, ATRAVÉS DA SECRETARIA DE ASSISTÊNCIA SOCIAL E POLÍTICAS PARA MULHERES.</w:t>
            </w:r>
          </w:p>
        </w:tc>
      </w:tr>
      <w:tr>
        <w:trPr/>
        <w:tc>
          <w:tcPr>
            <w:tcW w:w="1267" w:type="dxa"/>
            <w:tcBorders>
              <w:top w:val="nil"/>
              <w:left w:val="nil"/>
              <w:bottom w:val="nil"/>
              <w:right w:val="nil"/>
            </w:tcBorders>
            <w:shd w:color="auto" w:fill="auto" w:val="clear"/>
          </w:tcPr>
          <w:p>
            <w:pPr>
              <w:pStyle w:val="Normal"/>
              <w:widowControl w:val="false"/>
              <w:spacing w:lineRule="auto" w:line="276" w:before="0" w:after="0"/>
              <w:ind w:right="-2" w:hanging="2"/>
              <w:jc w:val="both"/>
              <w:rPr>
                <w:rFonts w:eastAsia="SimSun"/>
                <w:b/>
                <w:bCs/>
                <w:kern w:val="2"/>
                <w:sz w:val="20"/>
                <w:szCs w:val="20"/>
                <w:lang w:eastAsia="zh-CN" w:bidi="hi-IN"/>
              </w:rPr>
            </w:pPr>
            <w:r>
              <w:rPr>
                <w:rFonts w:eastAsia="SimSun"/>
                <w:b/>
                <w:bCs/>
                <w:kern w:val="2"/>
                <w:sz w:val="20"/>
                <w:szCs w:val="20"/>
                <w:lang w:eastAsia="zh-CN" w:bidi="hi-IN"/>
              </w:rPr>
            </w:r>
          </w:p>
        </w:tc>
        <w:tc>
          <w:tcPr>
            <w:tcW w:w="8087" w:type="dxa"/>
            <w:gridSpan w:val="4"/>
            <w:tcBorders>
              <w:top w:val="nil"/>
              <w:left w:val="nil"/>
              <w:bottom w:val="nil"/>
              <w:right w:val="nil"/>
            </w:tcBorders>
            <w:shd w:color="auto" w:fill="FFFFFF" w:themeFill="background1" w:val="clear"/>
          </w:tcPr>
          <w:p>
            <w:pPr>
              <w:pStyle w:val="Normal"/>
              <w:widowControl w:val="false"/>
              <w:spacing w:before="0" w:after="0"/>
              <w:ind w:right="-2" w:hanging="2"/>
              <w:jc w:val="both"/>
              <w:rPr>
                <w:sz w:val="20"/>
                <w:szCs w:val="20"/>
              </w:rPr>
            </w:pPr>
            <w:r>
              <w:rPr>
                <w:sz w:val="20"/>
                <w:szCs w:val="20"/>
              </w:rPr>
            </w:r>
          </w:p>
        </w:tc>
      </w:tr>
      <w:tr>
        <w:trPr>
          <w:trHeight w:val="192" w:hRule="atLeast"/>
        </w:trPr>
        <w:tc>
          <w:tcPr>
            <w:tcW w:w="1267" w:type="dxa"/>
            <w:tcBorders>
              <w:top w:val="nil"/>
              <w:left w:val="nil"/>
              <w:bottom w:val="nil"/>
              <w:right w:val="nil"/>
            </w:tcBorders>
            <w:shd w:color="auto" w:fill="DBE5F1" w:themeFill="accent1" w:themeFillTint="33" w:val="clear"/>
          </w:tcPr>
          <w:p>
            <w:pPr>
              <w:pStyle w:val="Normal"/>
              <w:widowControl w:val="false"/>
              <w:spacing w:lineRule="auto" w:line="276" w:before="0" w:after="0"/>
              <w:ind w:right="-2" w:hanging="2"/>
              <w:jc w:val="both"/>
              <w:rPr>
                <w:sz w:val="20"/>
                <w:szCs w:val="20"/>
              </w:rPr>
            </w:pPr>
            <w:r>
              <w:rPr>
                <w:rFonts w:eastAsia="SimSun" w:cs="Times New Roman"/>
                <w:b/>
                <w:bCs/>
                <w:kern w:val="2"/>
                <w:sz w:val="20"/>
                <w:szCs w:val="20"/>
                <w:lang w:val="pt-BR" w:eastAsia="zh-CN" w:bidi="hi-IN"/>
              </w:rPr>
              <w:t>5. Local</w:t>
            </w:r>
          </w:p>
        </w:tc>
        <w:tc>
          <w:tcPr>
            <w:tcW w:w="8087" w:type="dxa"/>
            <w:gridSpan w:val="4"/>
            <w:tcBorders>
              <w:top w:val="nil"/>
              <w:left w:val="nil"/>
              <w:bottom w:val="nil"/>
              <w:right w:val="nil"/>
            </w:tcBorders>
            <w:shd w:color="auto" w:fill="FFFFFF" w:themeFill="background1" w:val="clear"/>
          </w:tcPr>
          <w:p>
            <w:pPr>
              <w:pStyle w:val="Normal"/>
              <w:widowControl w:val="false"/>
              <w:spacing w:before="0" w:after="0"/>
              <w:ind w:right="-2" w:hanging="0"/>
              <w:jc w:val="both"/>
              <w:rPr>
                <w:sz w:val="20"/>
                <w:szCs w:val="20"/>
              </w:rPr>
            </w:pPr>
            <w:r>
              <w:rPr>
                <w:rFonts w:eastAsia="Times New Roman" w:cs="Times New Roman"/>
                <w:kern w:val="0"/>
                <w:sz w:val="20"/>
                <w:szCs w:val="20"/>
                <w:lang w:val="pt-BR" w:eastAsia="pt-BR" w:bidi="ar-SA"/>
              </w:rPr>
              <w:t>Diversos</w:t>
            </w:r>
          </w:p>
          <w:p>
            <w:pPr>
              <w:pStyle w:val="Normal"/>
              <w:widowControl w:val="false"/>
              <w:spacing w:before="0" w:after="0"/>
              <w:ind w:right="-2" w:hanging="0"/>
              <w:jc w:val="both"/>
              <w:rPr>
                <w:sz w:val="20"/>
                <w:szCs w:val="20"/>
              </w:rPr>
            </w:pPr>
            <w:r>
              <w:rPr>
                <w:rFonts w:eastAsia="Times New Roman" w:cs="Times New Roman"/>
                <w:kern w:val="0"/>
                <w:sz w:val="20"/>
                <w:szCs w:val="20"/>
                <w:lang w:val="pt-BR" w:eastAsia="pt-BR" w:bidi="ar-SA"/>
              </w:rPr>
              <w:t>FISCAL DO CONTRATO PORTARIA NRº2.411/2026</w:t>
            </w:r>
          </w:p>
          <w:p>
            <w:pPr>
              <w:pStyle w:val="Normal"/>
              <w:widowControl w:val="false"/>
              <w:spacing w:before="0" w:after="0"/>
              <w:ind w:right="-2" w:hanging="0"/>
              <w:jc w:val="both"/>
              <w:rPr>
                <w:sz w:val="20"/>
                <w:szCs w:val="20"/>
              </w:rPr>
            </w:pPr>
            <w:r>
              <w:rPr>
                <w:sz w:val="20"/>
                <w:szCs w:val="20"/>
              </w:rPr>
            </w:r>
          </w:p>
        </w:tc>
      </w:tr>
      <w:tr>
        <w:trPr/>
        <w:tc>
          <w:tcPr>
            <w:tcW w:w="2977" w:type="dxa"/>
            <w:gridSpan w:val="3"/>
            <w:tcBorders>
              <w:top w:val="nil"/>
              <w:left w:val="nil"/>
              <w:bottom w:val="single" w:sz="12" w:space="0" w:color="000000"/>
              <w:right w:val="nil"/>
            </w:tcBorders>
            <w:shd w:color="auto" w:fill="FFFFFF" w:themeFill="background1" w:val="clear"/>
          </w:tcPr>
          <w:p>
            <w:pPr>
              <w:pStyle w:val="Normal"/>
              <w:widowControl w:val="false"/>
              <w:spacing w:lineRule="auto" w:line="276" w:before="0" w:after="0"/>
              <w:ind w:right="-2" w:hanging="2"/>
              <w:jc w:val="both"/>
              <w:rPr>
                <w:sz w:val="22"/>
                <w:szCs w:val="22"/>
              </w:rPr>
            </w:pPr>
            <w:r>
              <w:rPr>
                <w:sz w:val="22"/>
                <w:szCs w:val="22"/>
              </w:rPr>
            </w:r>
          </w:p>
        </w:tc>
        <w:tc>
          <w:tcPr>
            <w:tcW w:w="6377" w:type="dxa"/>
            <w:gridSpan w:val="2"/>
            <w:tcBorders>
              <w:top w:val="nil"/>
              <w:left w:val="nil"/>
              <w:bottom w:val="single" w:sz="12" w:space="0" w:color="000000"/>
              <w:right w:val="nil"/>
            </w:tcBorders>
            <w:shd w:color="auto" w:fill="FFFFFF" w:themeFill="background1" w:val="clear"/>
          </w:tcPr>
          <w:p>
            <w:pPr>
              <w:pStyle w:val="Normal"/>
              <w:widowControl w:val="false"/>
              <w:spacing w:lineRule="auto" w:line="276" w:before="0" w:after="0"/>
              <w:ind w:right="-2" w:hanging="0"/>
              <w:jc w:val="both"/>
              <w:rPr>
                <w:sz w:val="22"/>
                <w:szCs w:val="22"/>
              </w:rPr>
            </w:pPr>
            <w:r>
              <w:rPr>
                <w:sz w:val="22"/>
                <w:szCs w:val="22"/>
              </w:rPr>
            </w:r>
          </w:p>
        </w:tc>
      </w:tr>
      <w:tr>
        <w:trPr/>
        <w:tc>
          <w:tcPr>
            <w:tcW w:w="9354" w:type="dxa"/>
            <w:gridSpan w:val="5"/>
            <w:tcBorders>
              <w:top w:val="nil"/>
              <w:left w:val="single" w:sz="12" w:space="0" w:color="000000"/>
              <w:bottom w:val="single" w:sz="12" w:space="0" w:color="000000"/>
              <w:right w:val="single" w:sz="12" w:space="0" w:color="000000"/>
            </w:tcBorders>
            <w:shd w:color="auto" w:fill="365F91" w:themeFill="accent1" w:themeFillShade="bf" w:val="clear"/>
          </w:tcPr>
          <w:p>
            <w:pPr>
              <w:pStyle w:val="Normal"/>
              <w:widowControl w:val="false"/>
              <w:spacing w:lineRule="auto" w:line="276" w:before="0" w:after="0"/>
              <w:ind w:right="-2" w:hanging="2"/>
              <w:jc w:val="both"/>
              <w:rPr>
                <w:sz w:val="22"/>
                <w:szCs w:val="22"/>
              </w:rPr>
            </w:pPr>
            <w:r>
              <w:rPr>
                <w:rFonts w:eastAsia="Times New Roman" w:cs="Times New Roman"/>
                <w:b/>
                <w:bCs/>
                <w:color w:val="FFFFFF" w:themeColor="background1"/>
                <w:kern w:val="0"/>
                <w:sz w:val="22"/>
                <w:szCs w:val="22"/>
                <w:lang w:val="pt-BR" w:eastAsia="pt-BR" w:bidi="ar-SA"/>
              </w:rPr>
              <w:t>II - Diagnóstico da Situação Atual:</w:t>
            </w:r>
          </w:p>
        </w:tc>
      </w:tr>
      <w:tr>
        <w:trPr/>
        <w:tc>
          <w:tcPr>
            <w:tcW w:w="9354" w:type="dxa"/>
            <w:gridSpan w:val="5"/>
            <w:tcBorders>
              <w:top w:val="single" w:sz="12" w:space="0" w:color="000000"/>
              <w:left w:val="nil"/>
              <w:bottom w:val="single" w:sz="12" w:space="0" w:color="000000"/>
              <w:right w:val="nil"/>
            </w:tcBorders>
            <w:shd w:color="auto" w:fill="FFFFFF" w:themeFill="background1" w:val="clear"/>
          </w:tcPr>
          <w:p>
            <w:pPr>
              <w:pStyle w:val="Normal"/>
              <w:widowControl w:val="false"/>
              <w:spacing w:lineRule="auto" w:line="276" w:before="0" w:after="0"/>
              <w:ind w:right="-2" w:hanging="2"/>
              <w:jc w:val="both"/>
              <w:rPr>
                <w:b/>
                <w:bCs/>
                <w:color w:val="FFFFFF" w:themeColor="background1"/>
                <w:sz w:val="22"/>
                <w:szCs w:val="22"/>
              </w:rPr>
            </w:pPr>
            <w:r>
              <w:rPr>
                <w:b/>
                <w:bCs/>
                <w:color w:val="FFFFFF" w:themeColor="background1"/>
                <w:sz w:val="22"/>
                <w:szCs w:val="22"/>
              </w:rPr>
            </w:r>
          </w:p>
        </w:tc>
      </w:tr>
      <w:tr>
        <w:trPr/>
        <w:tc>
          <w:tcPr>
            <w:tcW w:w="9354" w:type="dxa"/>
            <w:gridSpan w:val="5"/>
            <w:tcBorders>
              <w:top w:val="single" w:sz="12" w:space="0" w:color="000000"/>
              <w:left w:val="single" w:sz="12" w:space="0" w:color="000000"/>
              <w:bottom w:val="single" w:sz="12" w:space="0" w:color="000000"/>
              <w:right w:val="single" w:sz="12" w:space="0" w:color="000000"/>
            </w:tcBorders>
            <w:shd w:color="auto" w:fill="C6D9F1" w:themeFill="text2" w:themeFillTint="33" w:val="clear"/>
          </w:tcPr>
          <w:p>
            <w:pPr>
              <w:pStyle w:val="ListParagraph"/>
              <w:widowControl w:val="false"/>
              <w:numPr>
                <w:ilvl w:val="0"/>
                <w:numId w:val="1"/>
              </w:numPr>
              <w:tabs>
                <w:tab w:val="clear" w:pos="720"/>
                <w:tab w:val="left" w:pos="238" w:leader="none"/>
                <w:tab w:val="left" w:pos="567" w:leader="none"/>
              </w:tabs>
              <w:spacing w:before="0" w:after="0"/>
              <w:ind w:left="0" w:right="-2" w:hanging="2"/>
              <w:contextualSpacing/>
              <w:jc w:val="both"/>
              <w:rPr>
                <w:sz w:val="22"/>
                <w:szCs w:val="22"/>
              </w:rPr>
            </w:pPr>
            <w:r>
              <w:rPr>
                <w:rFonts w:eastAsia="Times New Roman" w:cs="Times New Roman"/>
                <w:b/>
                <w:kern w:val="0"/>
                <w:sz w:val="22"/>
                <w:szCs w:val="22"/>
                <w:lang w:val="pt-BR" w:eastAsia="pt-BR" w:bidi="ar-SA"/>
              </w:rPr>
              <w:t>Descrição do problema a ser resolvido ou da necessidade apresentada (artigo 15, caput, §1º do Decreto nº 3.537/2023):</w:t>
            </w:r>
          </w:p>
        </w:tc>
      </w:tr>
    </w:tbl>
    <w:p>
      <w:pPr>
        <w:pStyle w:val="Normal"/>
        <w:widowControl w:val="false"/>
        <w:tabs>
          <w:tab w:val="clear" w:pos="720"/>
          <w:tab w:val="right" w:pos="9071" w:leader="none"/>
        </w:tabs>
        <w:ind w:right="-2" w:hanging="0"/>
        <w:jc w:val="both"/>
        <w:textAlignment w:val="baseline"/>
        <w:rPr>
          <w:sz w:val="22"/>
          <w:szCs w:val="22"/>
        </w:rPr>
      </w:pPr>
      <w:r>
        <w:rPr>
          <w:sz w:val="22"/>
          <w:szCs w:val="22"/>
        </w:rPr>
        <w:tab/>
      </w:r>
      <w:r>
        <w:rPr/>
        <w:t xml:space="preserve">A necessidade da presente contratação decorre da execução das políticas públicas desenvolvidas pela Secretaria Municipal de Assistência Social, especialmente no âmbito de projetos, oficinas socioeducativas, cursos de qualificação profissional ofertados em parceria com o SENAC, atividades complementares voltadas à pessoa idosa,reuniões do Serviço de Proteção e Atendimento Integral à Família (PAIF), e encontros desenvolvidos pela Diretoria de Políticas Públicas para Mulheres. Tais ações integram a rede de proteção social do Município e visam promover inclusão social, fortalecimento de vínculos comunitários e desenvolvimento de capacidades para autonomia e melhoria das condições de vida dos usuários atendidos.O problema identificado sob a perspectiva do interesse público consiste na ausência de suporte alimentar adequado durante a realização dessas atividades, muitas das quais possuem duração prolongada ou alto grau de intensidade, e envolvem públicos em situação de risco social e insegurança alimentar. </w:t>
        <w:br/>
        <w:tab/>
        <w:t>A falta de fornecimento dos lanches, pode gerar impacto negativo na permanência dos participantes, reduz a efetividade das ações socioassistenciais e pode gerar evasão, prejudicando diretamente o alcance dos objetivos institucionais da política pública e o uso eficiente dos recursos públicos já empregados na organização das atividades.</w:t>
      </w:r>
    </w:p>
    <w:p>
      <w:pPr>
        <w:pStyle w:val="Normal"/>
        <w:spacing w:beforeAutospacing="1" w:afterAutospacing="1"/>
        <w:rPr/>
      </w:pPr>
      <w:r>
        <w:rPr/>
        <w:t>Além disso, considerando o perfil do público atendido caracterizado por vulnerabilidade socioeconômica, a oferta de kits de lanches prontos para consumo imediato constitui medida de apoio essencial para assegurar condições mínimas de dignidade, acolhimento e bem-estar durante a participação nas ações promovidas pela unidade demandante. A inexistência dessa provisão impacta negativamente a qualidade do atendimento prestado e contraria os princípios da proteção social e da equidade no acesso às políticas públicas, além de impactar no quesito financeiro pela possibilidade de dar suport</w:t>
      </w:r>
      <w:r>
        <w:rPr/>
        <w:t>e</w:t>
      </w:r>
      <w:r>
        <w:rPr/>
        <w:t xml:space="preserve"> alimentar através de resoluções alimentares de forma repentina.</w:t>
      </w:r>
    </w:p>
    <w:p>
      <w:pPr>
        <w:pStyle w:val="Normal"/>
        <w:spacing w:beforeAutospacing="1" w:afterAutospacing="1"/>
        <w:rPr/>
      </w:pPr>
      <w:r>
        <w:rPr/>
        <w:t xml:space="preserve">A inexistência de solução contratual previamente estruturada pode gerar aquisições fragmentadas, improvisações logísticas, desigualdade no atendimento entre participantes e maior risco de desperdício de recursos públicos, comprometendo os princípios da eficiência, economicidade e planejamento que regem a Administração Pública. </w:t>
      </w:r>
    </w:p>
    <w:p>
      <w:pPr>
        <w:pStyle w:val="Normal"/>
        <w:spacing w:beforeAutospacing="1" w:afterAutospacing="1"/>
        <w:rPr/>
      </w:pPr>
      <w:r>
        <w:rPr/>
        <w:t>Dessa forma, a aquisição dos kits de lanches apresenta-se como solução necessária e proporcional para o enfrentamento do problema identificado, viabilizando a continuidade e a efetividade das atividades socioassistenciais, garantindo a segurança alimentar dos usuários e assegurando que as ações desenvolvidas pela Secretaria Municipal de Assistência Social cumpram sua finalidade pública com eficiência, dignidade e foco na população em situação de vulnerabilidade.</w:t>
      </w:r>
    </w:p>
    <w:p>
      <w:pPr>
        <w:pStyle w:val="Normal"/>
        <w:spacing w:beforeAutospacing="1" w:afterAutospacing="1"/>
        <w:rPr/>
      </w:pPr>
      <w:r>
        <w:rPr/>
        <w:t>Destaca-se que as Oficinas e cursos do SENAC são abertos à comunidade, sendo atualmente os mencionados:</w:t>
      </w:r>
    </w:p>
    <w:p>
      <w:pPr>
        <w:pStyle w:val="Normal"/>
        <w:spacing w:beforeAutospacing="1" w:afterAutospacing="1"/>
        <w:rPr>
          <w:b/>
          <w:bCs/>
          <w:i w:val="false"/>
          <w:i w:val="false"/>
          <w:iCs w:val="false"/>
          <w:u w:val="single"/>
        </w:rPr>
      </w:pPr>
      <w:r>
        <w:rPr>
          <w:b/>
          <w:bCs/>
          <w:i w:val="false"/>
          <w:iCs w:val="false"/>
          <w:u w:val="single"/>
        </w:rPr>
        <w:t>OFICINAS</w:t>
      </w:r>
    </w:p>
    <w:tbl>
      <w:tblPr>
        <w:tblW w:w="5000" w:type="pct"/>
        <w:jc w:val="left"/>
        <w:tblInd w:w="0" w:type="dxa"/>
        <w:tblLayout w:type="fixed"/>
        <w:tblCellMar>
          <w:top w:w="0" w:type="dxa"/>
          <w:left w:w="0" w:type="dxa"/>
          <w:bottom w:w="0" w:type="dxa"/>
          <w:right w:w="0" w:type="dxa"/>
        </w:tblCellMar>
      </w:tblPr>
      <w:tblGrid>
        <w:gridCol w:w="1692"/>
        <w:gridCol w:w="1342"/>
        <w:gridCol w:w="979"/>
        <w:gridCol w:w="1412"/>
        <w:gridCol w:w="1303"/>
        <w:gridCol w:w="2625"/>
      </w:tblGrid>
      <w:tr>
        <w:trPr/>
        <w:tc>
          <w:tcPr>
            <w:tcW w:w="1692" w:type="dxa"/>
            <w:tcBorders>
              <w:top w:val="single" w:sz="16" w:space="0" w:color="000000"/>
              <w:bottom w:val="single" w:sz="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MODALIDADE</w:t>
            </w:r>
          </w:p>
        </w:tc>
        <w:tc>
          <w:tcPr>
            <w:tcW w:w="1342" w:type="dxa"/>
            <w:tcBorders>
              <w:top w:val="single" w:sz="16" w:space="0" w:color="000000"/>
              <w:bottom w:val="single" w:sz="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DURAÇÃO</w:t>
            </w:r>
          </w:p>
        </w:tc>
        <w:tc>
          <w:tcPr>
            <w:tcW w:w="979" w:type="dxa"/>
            <w:tcBorders>
              <w:top w:val="single" w:sz="16" w:space="0" w:color="000000"/>
              <w:bottom w:val="single" w:sz="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VAGAS</w:t>
            </w:r>
          </w:p>
        </w:tc>
        <w:tc>
          <w:tcPr>
            <w:tcW w:w="1412" w:type="dxa"/>
            <w:tcBorders>
              <w:top w:val="single" w:sz="16" w:space="0" w:color="000000"/>
              <w:bottom w:val="single" w:sz="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SEMANAIS</w:t>
            </w:r>
          </w:p>
        </w:tc>
        <w:tc>
          <w:tcPr>
            <w:tcW w:w="1303" w:type="dxa"/>
            <w:tcBorders>
              <w:top w:val="single" w:sz="16" w:space="0" w:color="000000"/>
              <w:bottom w:val="single" w:sz="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MENSAIS</w:t>
            </w:r>
          </w:p>
        </w:tc>
        <w:tc>
          <w:tcPr>
            <w:tcW w:w="2625" w:type="dxa"/>
            <w:tcBorders>
              <w:top w:val="single" w:sz="16" w:space="0" w:color="000000"/>
              <w:bottom w:val="single" w:sz="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ANUAL</w:t>
            </w:r>
          </w:p>
        </w:tc>
      </w:tr>
      <w:tr>
        <w:trPr/>
        <w:tc>
          <w:tcPr>
            <w:tcW w:w="169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Vôlei</w:t>
            </w:r>
          </w:p>
        </w:tc>
        <w:tc>
          <w:tcPr>
            <w:tcW w:w="134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 horas semanais</w:t>
            </w:r>
          </w:p>
        </w:tc>
        <w:tc>
          <w:tcPr>
            <w:tcW w:w="979"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30</w:t>
            </w:r>
          </w:p>
        </w:tc>
        <w:tc>
          <w:tcPr>
            <w:tcW w:w="141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30</w:t>
            </w:r>
          </w:p>
        </w:tc>
        <w:tc>
          <w:tcPr>
            <w:tcW w:w="1303"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120</w:t>
            </w:r>
          </w:p>
        </w:tc>
        <w:tc>
          <w:tcPr>
            <w:tcW w:w="2625"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1440</w:t>
            </w:r>
          </w:p>
        </w:tc>
      </w:tr>
      <w:tr>
        <w:trPr/>
        <w:tc>
          <w:tcPr>
            <w:tcW w:w="169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Zumba</w:t>
            </w:r>
          </w:p>
        </w:tc>
        <w:tc>
          <w:tcPr>
            <w:tcW w:w="134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 horas semanais</w:t>
            </w:r>
          </w:p>
        </w:tc>
        <w:tc>
          <w:tcPr>
            <w:tcW w:w="979"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80</w:t>
            </w:r>
          </w:p>
        </w:tc>
        <w:tc>
          <w:tcPr>
            <w:tcW w:w="141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80</w:t>
            </w:r>
          </w:p>
        </w:tc>
        <w:tc>
          <w:tcPr>
            <w:tcW w:w="1303"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320</w:t>
            </w:r>
          </w:p>
        </w:tc>
        <w:tc>
          <w:tcPr>
            <w:tcW w:w="2625"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3840</w:t>
            </w:r>
          </w:p>
        </w:tc>
      </w:tr>
      <w:tr>
        <w:trPr/>
        <w:tc>
          <w:tcPr>
            <w:tcW w:w="169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Biodança</w:t>
            </w:r>
          </w:p>
        </w:tc>
        <w:tc>
          <w:tcPr>
            <w:tcW w:w="134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 horas semanais</w:t>
            </w:r>
          </w:p>
        </w:tc>
        <w:tc>
          <w:tcPr>
            <w:tcW w:w="979"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w:t>
            </w:r>
          </w:p>
        </w:tc>
        <w:tc>
          <w:tcPr>
            <w:tcW w:w="141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w:t>
            </w:r>
          </w:p>
        </w:tc>
        <w:tc>
          <w:tcPr>
            <w:tcW w:w="1303"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240</w:t>
            </w:r>
          </w:p>
        </w:tc>
        <w:tc>
          <w:tcPr>
            <w:tcW w:w="2625"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2880</w:t>
            </w:r>
          </w:p>
        </w:tc>
      </w:tr>
      <w:tr>
        <w:trPr/>
        <w:tc>
          <w:tcPr>
            <w:tcW w:w="169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Artesanato</w:t>
            </w:r>
          </w:p>
        </w:tc>
        <w:tc>
          <w:tcPr>
            <w:tcW w:w="134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 horas semanais</w:t>
            </w:r>
          </w:p>
        </w:tc>
        <w:tc>
          <w:tcPr>
            <w:tcW w:w="979"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120</w:t>
            </w:r>
          </w:p>
        </w:tc>
        <w:tc>
          <w:tcPr>
            <w:tcW w:w="141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120</w:t>
            </w:r>
          </w:p>
        </w:tc>
        <w:tc>
          <w:tcPr>
            <w:tcW w:w="1303"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480</w:t>
            </w:r>
          </w:p>
        </w:tc>
        <w:tc>
          <w:tcPr>
            <w:tcW w:w="2625"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5760</w:t>
            </w:r>
          </w:p>
        </w:tc>
      </w:tr>
      <w:tr>
        <w:trPr/>
        <w:tc>
          <w:tcPr>
            <w:tcW w:w="169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Futebol/Futsal</w:t>
            </w:r>
          </w:p>
        </w:tc>
        <w:tc>
          <w:tcPr>
            <w:tcW w:w="134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24 horas semanais</w:t>
            </w:r>
          </w:p>
        </w:tc>
        <w:tc>
          <w:tcPr>
            <w:tcW w:w="979"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120</w:t>
            </w:r>
          </w:p>
        </w:tc>
        <w:tc>
          <w:tcPr>
            <w:tcW w:w="1412"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120</w:t>
            </w:r>
          </w:p>
        </w:tc>
        <w:tc>
          <w:tcPr>
            <w:tcW w:w="1303"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480</w:t>
            </w:r>
          </w:p>
        </w:tc>
        <w:tc>
          <w:tcPr>
            <w:tcW w:w="2625" w:type="dxa"/>
            <w:tcBorders>
              <w:bottom w:val="single" w:sz="6" w:space="0" w:color="999999"/>
            </w:tcBorders>
            <w:shd w:fill="EEEEEE" w:val="clear"/>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5760</w:t>
            </w:r>
          </w:p>
        </w:tc>
      </w:tr>
      <w:tr>
        <w:trPr/>
        <w:tc>
          <w:tcPr>
            <w:tcW w:w="1692" w:type="dxa"/>
            <w:tcBorders>
              <w:top w:val="single" w:sz="6" w:space="0" w:color="999999"/>
              <w:bottom w:val="single" w:sz="16" w:space="0" w:color="000000"/>
            </w:tcBorders>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2" w:type="dxa"/>
            <w:tcBorders>
              <w:top w:val="single" w:sz="6" w:space="0" w:color="999999"/>
              <w:bottom w:val="single" w:sz="16" w:space="0" w:color="000000"/>
            </w:tcBorders>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979" w:type="dxa"/>
            <w:tcBorders>
              <w:top w:val="single" w:sz="6" w:space="0" w:color="999999"/>
              <w:bottom w:val="single" w:sz="16" w:space="0" w:color="000000"/>
            </w:tcBorders>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412" w:type="dxa"/>
            <w:tcBorders>
              <w:top w:val="single" w:sz="6" w:space="0" w:color="999999"/>
              <w:bottom w:val="single" w:sz="16" w:space="0" w:color="000000"/>
            </w:tcBorders>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03" w:type="dxa"/>
            <w:tcBorders>
              <w:top w:val="single" w:sz="6" w:space="0" w:color="999999"/>
              <w:bottom w:val="single" w:sz="16" w:space="0" w:color="000000"/>
            </w:tcBorders>
          </w:tcPr>
          <w:p>
            <w:pPr>
              <w:pStyle w:val="Contedodatabela"/>
              <w:widowControl w:val="false"/>
              <w:jc w:val="left"/>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2625" w:type="dxa"/>
            <w:tcBorders>
              <w:top w:val="single" w:sz="6" w:space="0" w:color="999999"/>
              <w:bottom w:val="single" w:sz="1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16"/>
                <w:szCs w:val="16"/>
                <w:u w:val="none"/>
              </w:rPr>
            </w:pPr>
            <w:r>
              <w:rPr>
                <w:b/>
                <w:bCs/>
                <w:i w:val="false"/>
                <w:iCs w:val="false"/>
                <w:strike w:val="false"/>
                <w:dstrike w:val="false"/>
                <w:outline w:val="false"/>
                <w:shadow w:val="false"/>
                <w:color w:val="000000"/>
                <w:sz w:val="16"/>
                <w:szCs w:val="16"/>
                <w:u w:val="none"/>
              </w:rPr>
              <w:t>TOTAL = 19.680</w:t>
            </w:r>
          </w:p>
        </w:tc>
      </w:tr>
    </w:tbl>
    <w:p>
      <w:pPr>
        <w:pStyle w:val="Corpodotexto"/>
        <w:spacing w:beforeAutospacing="1" w:afterAutospacing="1"/>
        <w:rPr/>
      </w:pPr>
      <w:r>
        <w:rPr>
          <w:b w:val="false"/>
          <w:bCs w:val="false"/>
          <w:i w:val="false"/>
          <w:iCs w:val="false"/>
          <w:u w:val="none"/>
        </w:rPr>
        <w:t xml:space="preserve">Com vistas à preservação da dignidade dos assistidos e ao pleno atendimento das finalidades socioassistenciais das oficinas ofertadas, considerando que atualmente são desenvolvidas 9 (nove) oficinas no âmbito da Assistência Social, deliberou-se, em observância ao equilíbrio financeiro e à racionalização dos recursos públicos, pelo fornecimento de kit lanche para 5 (cinco) oficinas específicas, deixando de atender aquelas que não demonstraram necessidade essencial de fornecimento de lanches, sendo elas: Hidroginástica, Natação, Yoga e Ginástica. </w:t>
      </w:r>
      <w:r>
        <w:rPr/>
        <w:t>Tal definição foi pautada em critérios objetivos, notadamente: carga horária de duração das atividades e nível de esforço físico exigido dos participantes. Abaixo, a menção de todas as Oficinas:</w:t>
        <w:br/>
      </w:r>
      <w:r>
        <w:rPr>
          <w:b/>
          <w:bCs/>
          <w:sz w:val="24"/>
          <w:szCs w:val="24"/>
          <w:u w:val="single"/>
        </w:rPr>
        <w:t>TODAS AS OFICINAS</w:t>
      </w:r>
    </w:p>
    <w:tbl>
      <w:tblPr>
        <w:tblW w:w="5000" w:type="pct"/>
        <w:jc w:val="left"/>
        <w:tblInd w:w="0" w:type="dxa"/>
        <w:tblLayout w:type="fixed"/>
        <w:tblCellMar>
          <w:top w:w="0" w:type="dxa"/>
          <w:left w:w="0" w:type="dxa"/>
          <w:bottom w:w="0" w:type="dxa"/>
          <w:right w:w="0" w:type="dxa"/>
        </w:tblCellMar>
      </w:tblPr>
      <w:tblGrid>
        <w:gridCol w:w="1039"/>
        <w:gridCol w:w="1039"/>
        <w:gridCol w:w="1039"/>
        <w:gridCol w:w="1037"/>
        <w:gridCol w:w="1042"/>
        <w:gridCol w:w="4157"/>
      </w:tblGrid>
      <w:tr>
        <w:trPr/>
        <w:tc>
          <w:tcPr>
            <w:tcW w:w="1039" w:type="dxa"/>
            <w:tcBorders>
              <w:top w:val="single" w:sz="6" w:space="0" w:color="000000"/>
              <w:bottom w:val="single" w:sz="6" w:space="0" w:color="000000"/>
            </w:tcBorders>
          </w:tcPr>
          <w:p>
            <w:pPr>
              <w:pStyle w:val="Contedodatabela"/>
              <w:widowControl w:val="false"/>
              <w:jc w:val="left"/>
              <w:rPr>
                <w:rFonts w:ascii="Liberation Serif" w:hAnsi="Liberation Serif"/>
                <w:b/>
                <w:bCs/>
                <w:i w:val="false"/>
                <w:i w:val="false"/>
                <w:iCs w:val="false"/>
                <w:strike w:val="false"/>
                <w:dstrike w:val="false"/>
                <w:outline w:val="false"/>
                <w:shadow w:val="false"/>
                <w:color w:val="000000"/>
                <w:sz w:val="14"/>
                <w:szCs w:val="14"/>
                <w:u w:val="none"/>
              </w:rPr>
            </w:pPr>
            <w:r>
              <w:rPr>
                <w:rFonts w:ascii="Liberation Serif" w:hAnsi="Liberation Serif"/>
                <w:b/>
                <w:bCs/>
                <w:i w:val="false"/>
                <w:iCs w:val="false"/>
                <w:strike w:val="false"/>
                <w:dstrike w:val="false"/>
                <w:outline w:val="false"/>
                <w:shadow w:val="false"/>
                <w:color w:val="000000"/>
                <w:sz w:val="14"/>
                <w:szCs w:val="14"/>
                <w:u w:val="none"/>
              </w:rPr>
              <w:t>ATENDIDAS</w:t>
            </w:r>
          </w:p>
        </w:tc>
        <w:tc>
          <w:tcPr>
            <w:tcW w:w="1039" w:type="dxa"/>
            <w:tcBorders>
              <w:top w:val="single" w:sz="6" w:space="0" w:color="000000"/>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ARTESANATO</w:t>
            </w:r>
          </w:p>
        </w:tc>
        <w:tc>
          <w:tcPr>
            <w:tcW w:w="1039" w:type="dxa"/>
            <w:tcBorders>
              <w:top w:val="single" w:sz="6" w:space="0" w:color="000000"/>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VÔLEI</w:t>
            </w:r>
          </w:p>
        </w:tc>
        <w:tc>
          <w:tcPr>
            <w:tcW w:w="1037" w:type="dxa"/>
            <w:tcBorders>
              <w:top w:val="single" w:sz="6" w:space="0" w:color="000000"/>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FUTEBOL/FUTSAL</w:t>
            </w:r>
          </w:p>
        </w:tc>
        <w:tc>
          <w:tcPr>
            <w:tcW w:w="1042" w:type="dxa"/>
            <w:tcBorders>
              <w:top w:val="single" w:sz="6" w:space="0" w:color="000000"/>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BIODANÇA</w:t>
            </w:r>
          </w:p>
        </w:tc>
        <w:tc>
          <w:tcPr>
            <w:tcW w:w="4157" w:type="dxa"/>
            <w:tcBorders>
              <w:top w:val="single" w:sz="6" w:space="0" w:color="000000"/>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ZUMBA</w:t>
            </w:r>
          </w:p>
        </w:tc>
      </w:tr>
      <w:tr>
        <w:trPr/>
        <w:tc>
          <w:tcPr>
            <w:tcW w:w="1039" w:type="dxa"/>
            <w:tcBorders>
              <w:bottom w:val="single" w:sz="6" w:space="0" w:color="000000"/>
            </w:tcBorders>
          </w:tcPr>
          <w:p>
            <w:pPr>
              <w:pStyle w:val="Contedodatabela"/>
              <w:widowControl w:val="false"/>
              <w:jc w:val="left"/>
              <w:rPr>
                <w:rFonts w:ascii="Liberation Serif" w:hAnsi="Liberation Serif"/>
                <w:b/>
                <w:bCs/>
                <w:i w:val="false"/>
                <w:i w:val="false"/>
                <w:iCs w:val="false"/>
                <w:strike w:val="false"/>
                <w:dstrike w:val="false"/>
                <w:outline w:val="false"/>
                <w:shadow w:val="false"/>
                <w:color w:val="000000"/>
                <w:sz w:val="14"/>
                <w:szCs w:val="14"/>
                <w:u w:val="none"/>
              </w:rPr>
            </w:pPr>
            <w:r>
              <w:rPr>
                <w:rFonts w:ascii="Liberation Serif" w:hAnsi="Liberation Serif"/>
                <w:b/>
                <w:bCs/>
                <w:i w:val="false"/>
                <w:iCs w:val="false"/>
                <w:strike w:val="false"/>
                <w:dstrike w:val="false"/>
                <w:outline w:val="false"/>
                <w:shadow w:val="false"/>
                <w:color w:val="000000"/>
                <w:sz w:val="14"/>
                <w:szCs w:val="14"/>
                <w:u w:val="none"/>
              </w:rPr>
              <w:t>NÃO ATENDIDAS</w:t>
            </w:r>
          </w:p>
        </w:tc>
        <w:tc>
          <w:tcPr>
            <w:tcW w:w="1039" w:type="dxa"/>
            <w:tcBorders>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HIDROGINÁSTICA</w:t>
            </w:r>
          </w:p>
        </w:tc>
        <w:tc>
          <w:tcPr>
            <w:tcW w:w="1039" w:type="dxa"/>
            <w:tcBorders>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NATAÇÃO</w:t>
            </w:r>
          </w:p>
        </w:tc>
        <w:tc>
          <w:tcPr>
            <w:tcW w:w="1037" w:type="dxa"/>
            <w:tcBorders>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YOGA</w:t>
            </w:r>
          </w:p>
        </w:tc>
        <w:tc>
          <w:tcPr>
            <w:tcW w:w="1042" w:type="dxa"/>
            <w:tcBorders>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t>GINÁSTICA</w:t>
            </w:r>
          </w:p>
        </w:tc>
        <w:tc>
          <w:tcPr>
            <w:tcW w:w="4157" w:type="dxa"/>
            <w:tcBorders>
              <w:bottom w:val="single" w:sz="6" w:space="0" w:color="000000"/>
            </w:tcBorders>
          </w:tcPr>
          <w:p>
            <w:pPr>
              <w:pStyle w:val="Contedodatabela"/>
              <w:widowControl w:val="false"/>
              <w:jc w:val="left"/>
              <w:rPr>
                <w:rFonts w:ascii="Liberation Serif" w:hAnsi="Liberation Serif"/>
                <w:b w:val="false"/>
                <w:bCs w:val="false"/>
                <w:i w:val="false"/>
                <w:i w:val="false"/>
                <w:iCs w:val="false"/>
                <w:strike w:val="false"/>
                <w:dstrike w:val="false"/>
                <w:outline w:val="false"/>
                <w:shadow w:val="false"/>
                <w:color w:val="000000"/>
                <w:sz w:val="14"/>
                <w:szCs w:val="14"/>
                <w:u w:val="none"/>
              </w:rPr>
            </w:pPr>
            <w:r>
              <w:rPr>
                <w:rFonts w:ascii="Liberation Serif" w:hAnsi="Liberation Serif"/>
                <w:b w:val="false"/>
                <w:bCs w:val="false"/>
                <w:i w:val="false"/>
                <w:iCs w:val="false"/>
                <w:strike w:val="false"/>
                <w:dstrike w:val="false"/>
                <w:outline w:val="false"/>
                <w:shadow w:val="false"/>
                <w:color w:val="000000"/>
                <w:sz w:val="14"/>
                <w:szCs w:val="14"/>
                <w:u w:val="none"/>
              </w:rPr>
            </w:r>
          </w:p>
        </w:tc>
      </w:tr>
    </w:tbl>
    <w:p>
      <w:pPr>
        <w:pStyle w:val="Corpodotexto"/>
        <w:spacing w:beforeAutospacing="1" w:afterAutospacing="1"/>
        <w:rPr>
          <w:b/>
          <w:bCs/>
          <w:i w:val="false"/>
          <w:i w:val="false"/>
          <w:iCs w:val="false"/>
          <w:sz w:val="14"/>
          <w:szCs w:val="14"/>
          <w:u w:val="single"/>
        </w:rPr>
      </w:pPr>
      <w:r>
        <w:rPr>
          <w:b/>
          <w:bCs/>
          <w:i w:val="false"/>
          <w:iCs w:val="false"/>
          <w:sz w:val="14"/>
          <w:szCs w:val="14"/>
          <w:u w:val="single"/>
        </w:rPr>
      </w:r>
    </w:p>
    <w:p>
      <w:pPr>
        <w:pStyle w:val="Normal"/>
        <w:spacing w:beforeAutospacing="1" w:afterAutospacing="1"/>
        <w:rPr>
          <w:b/>
          <w:bCs/>
          <w:i w:val="false"/>
          <w:i w:val="false"/>
          <w:iCs w:val="false"/>
          <w:u w:val="single"/>
        </w:rPr>
      </w:pPr>
      <w:r>
        <w:rPr>
          <w:b/>
          <w:bCs/>
          <w:i w:val="false"/>
          <w:iCs w:val="false"/>
          <w:u w:val="single"/>
        </w:rPr>
        <w:t>CURSOS SENAC</w:t>
      </w:r>
    </w:p>
    <w:tbl>
      <w:tblPr>
        <w:tblW w:w="5000" w:type="pct"/>
        <w:jc w:val="left"/>
        <w:tblInd w:w="0" w:type="dxa"/>
        <w:tblLayout w:type="fixed"/>
        <w:tblCellMar>
          <w:top w:w="0" w:type="dxa"/>
          <w:left w:w="0" w:type="dxa"/>
          <w:bottom w:w="0" w:type="dxa"/>
          <w:right w:w="0" w:type="dxa"/>
        </w:tblCellMar>
      </w:tblPr>
      <w:tblGrid>
        <w:gridCol w:w="1691"/>
        <w:gridCol w:w="1340"/>
        <w:gridCol w:w="2336"/>
        <w:gridCol w:w="3986"/>
      </w:tblGrid>
      <w:tr>
        <w:trPr/>
        <w:tc>
          <w:tcPr>
            <w:tcW w:w="1691" w:type="dxa"/>
            <w:tcBorders>
              <w:top w:val="single" w:sz="16" w:space="0" w:color="000000"/>
              <w:bottom w:val="single" w:sz="6" w:space="0" w:color="000000"/>
            </w:tcBorders>
          </w:tcPr>
          <w:p>
            <w:pPr>
              <w:pStyle w:val="Contedodatabela"/>
              <w:widowControl w:val="false"/>
              <w:jc w:val="center"/>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CURSOS</w:t>
            </w:r>
          </w:p>
        </w:tc>
        <w:tc>
          <w:tcPr>
            <w:tcW w:w="1340" w:type="dxa"/>
            <w:tcBorders>
              <w:top w:val="single" w:sz="16" w:space="0" w:color="000000"/>
              <w:bottom w:val="single" w:sz="6" w:space="0" w:color="000000"/>
            </w:tcBorders>
          </w:tcPr>
          <w:p>
            <w:pPr>
              <w:pStyle w:val="Contedodatabela"/>
              <w:widowControl w:val="false"/>
              <w:jc w:val="center"/>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CARGA HORÁRIA</w:t>
            </w:r>
          </w:p>
        </w:tc>
        <w:tc>
          <w:tcPr>
            <w:tcW w:w="2336" w:type="dxa"/>
            <w:tcBorders>
              <w:top w:val="single" w:sz="16" w:space="0" w:color="000000"/>
              <w:bottom w:val="single" w:sz="6" w:space="0" w:color="000000"/>
            </w:tcBorders>
          </w:tcPr>
          <w:p>
            <w:pPr>
              <w:pStyle w:val="Contedodatabela"/>
              <w:widowControl w:val="false"/>
              <w:jc w:val="center"/>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VAGAS</w:t>
            </w:r>
          </w:p>
        </w:tc>
        <w:tc>
          <w:tcPr>
            <w:tcW w:w="3986" w:type="dxa"/>
            <w:tcBorders>
              <w:top w:val="single" w:sz="16" w:space="0" w:color="000000"/>
              <w:bottom w:val="single" w:sz="6" w:space="0" w:color="000000"/>
            </w:tcBorders>
          </w:tcPr>
          <w:p>
            <w:pPr>
              <w:pStyle w:val="Contedodatabela"/>
              <w:widowControl w:val="false"/>
              <w:jc w:val="center"/>
              <w:rPr>
                <w:rFonts w:ascii="Times New Roman" w:hAnsi="Times New Roman"/>
                <w:b/>
                <w:bCs/>
                <w:i w:val="false"/>
                <w:i w:val="false"/>
                <w:iCs w:val="false"/>
                <w:strike w:val="false"/>
                <w:dstrike w:val="false"/>
                <w:outline w:val="false"/>
                <w:shadow w:val="false"/>
                <w:color w:val="000000"/>
                <w:sz w:val="20"/>
                <w:szCs w:val="20"/>
                <w:u w:val="none"/>
              </w:rPr>
            </w:pPr>
            <w:r>
              <w:rPr>
                <w:b/>
                <w:bCs/>
                <w:i w:val="false"/>
                <w:iCs w:val="false"/>
                <w:strike w:val="false"/>
                <w:dstrike w:val="false"/>
                <w:outline w:val="false"/>
                <w:shadow w:val="false"/>
                <w:color w:val="000000"/>
                <w:sz w:val="20"/>
                <w:szCs w:val="20"/>
                <w:u w:val="none"/>
              </w:rPr>
              <w:t>TOTAL DE KITS LANCHE NECESSÁRIOS</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Básico em Manicure e Pedicure.</w:t>
            </w:r>
          </w:p>
          <w:p>
            <w:pPr>
              <w:pStyle w:val="Normal"/>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48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180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Básico de Corte Feminino e Escova.</w:t>
            </w:r>
          </w:p>
          <w:p>
            <w:pPr>
              <w:pStyle w:val="Normal"/>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18</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270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Corte De Cabelo - Técnicas e Tendências.</w:t>
            </w:r>
          </w:p>
          <w:p>
            <w:pPr>
              <w:pStyle w:val="Normal"/>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50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180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Bases da Cozinha.</w:t>
            </w:r>
          </w:p>
          <w:p>
            <w:pPr>
              <w:pStyle w:val="Normal"/>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225</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Cozinha Japonesa.</w:t>
            </w:r>
          </w:p>
          <w:p>
            <w:pPr>
              <w:pStyle w:val="Normal"/>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18</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54</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 xml:space="preserve"> </w:t>
            </w:r>
            <w:r>
              <w:rPr>
                <w:b w:val="false"/>
                <w:bCs w:val="false"/>
                <w:i w:val="false"/>
                <w:iCs w:val="false"/>
                <w:strike w:val="false"/>
                <w:dstrike w:val="false"/>
                <w:outline w:val="false"/>
                <w:shadow w:val="false"/>
                <w:color w:val="000000"/>
                <w:sz w:val="16"/>
                <w:szCs w:val="16"/>
                <w:u w:val="none"/>
                <w:em w:val="none"/>
              </w:rPr>
              <w:t>Preparo de Doces e Salgados para Festas.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21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75</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Preparo de Lanches.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56</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Preparo de Massas e Pizzas.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Preparo de Salgados Assados e Fritos.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Preparo e Decoração de Bolos.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18</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90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Funções Básicas do Telefone Celular.</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45</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Sistema de Informação Para a Infância e a Adolescência.</w:t>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Técnicas para Recepcionistas.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21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100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Técnicas para Camareira de Meios de Hospedagem.</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21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100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Técnicas para garçom</w:t>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21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100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Prevenção de Acidentes Domésticos na Infância.</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8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40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 xml:space="preserve"> </w:t>
            </w:r>
            <w:r>
              <w:rPr>
                <w:b w:val="false"/>
                <w:bCs w:val="false"/>
                <w:i w:val="false"/>
                <w:iCs w:val="false"/>
                <w:strike w:val="false"/>
                <w:dstrike w:val="false"/>
                <w:outline w:val="false"/>
                <w:shadow w:val="false"/>
                <w:color w:val="000000"/>
                <w:sz w:val="16"/>
                <w:szCs w:val="16"/>
                <w:u w:val="none"/>
                <w:em w:val="none"/>
              </w:rPr>
              <w:t>Primeiros Socorros.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30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45</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Aperfeiçoamento para Cuidador Infantil.</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60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20</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300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Aproveitamento Integral dos Alimentos.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24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90</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Básico em Corte de Cabelo Masculino.</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21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75</w:t>
            </w:r>
          </w:p>
        </w:tc>
      </w:tr>
      <w:tr>
        <w:trPr/>
        <w:tc>
          <w:tcPr>
            <w:tcW w:w="1691" w:type="dxa"/>
            <w:tcBorders>
              <w:bottom w:val="single" w:sz="6" w:space="0" w:color="999999"/>
            </w:tcBorders>
            <w:shd w:fill="EEEEEE" w:val="clear"/>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Curso para Gestantes e Acompanhantes.</w:t>
            </w:r>
          </w:p>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21 horas</w:t>
            </w:r>
          </w:p>
        </w:tc>
        <w:tc>
          <w:tcPr>
            <w:tcW w:w="233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bottom w:val="single" w:sz="6" w:space="0" w:color="999999"/>
            </w:tcBorders>
            <w:shd w:fill="EEEEEE" w:val="clear"/>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75</w:t>
            </w:r>
          </w:p>
        </w:tc>
      </w:tr>
      <w:tr>
        <w:trPr>
          <w:trHeight w:val="79" w:hRule="atLeast"/>
        </w:trPr>
        <w:tc>
          <w:tcPr>
            <w:tcW w:w="1691" w:type="dxa"/>
            <w:tcBorders>
              <w:top w:val="single" w:sz="16" w:space="0" w:color="000000"/>
              <w:bottom w:val="single" w:sz="16" w:space="0" w:color="000000"/>
            </w:tcBorders>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em w:val="none"/>
              </w:rPr>
              <w:t>Preparo de Tortas Doces</w:t>
            </w:r>
          </w:p>
        </w:tc>
        <w:tc>
          <w:tcPr>
            <w:tcW w:w="1340" w:type="dxa"/>
            <w:tcBorders>
              <w:top w:val="single" w:sz="16" w:space="0" w:color="000000"/>
              <w:bottom w:val="single" w:sz="16" w:space="0" w:color="000000"/>
            </w:tcBorders>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21 horas</w:t>
            </w:r>
          </w:p>
        </w:tc>
        <w:tc>
          <w:tcPr>
            <w:tcW w:w="2336" w:type="dxa"/>
            <w:tcBorders>
              <w:top w:val="single" w:sz="16" w:space="0" w:color="000000"/>
              <w:bottom w:val="single" w:sz="16" w:space="0" w:color="000000"/>
            </w:tcBorders>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15</w:t>
            </w:r>
          </w:p>
        </w:tc>
        <w:tc>
          <w:tcPr>
            <w:tcW w:w="3986" w:type="dxa"/>
            <w:tcBorders>
              <w:top w:val="single" w:sz="16" w:space="0" w:color="000000"/>
              <w:bottom w:val="single" w:sz="16" w:space="0" w:color="000000"/>
            </w:tcBorders>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t>75</w:t>
            </w:r>
          </w:p>
        </w:tc>
      </w:tr>
      <w:tr>
        <w:trPr>
          <w:trHeight w:val="79" w:hRule="atLeast"/>
        </w:trPr>
        <w:tc>
          <w:tcPr>
            <w:tcW w:w="1691" w:type="dxa"/>
            <w:tcBorders>
              <w:bottom w:val="single" w:sz="16" w:space="0" w:color="000000"/>
            </w:tcBorders>
          </w:tcPr>
          <w:p>
            <w:pPr>
              <w:pStyle w:val="Normal"/>
              <w:widowControl w:val="false"/>
              <w:bidi w:val="0"/>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1340" w:type="dxa"/>
            <w:tcBorders>
              <w:bottom w:val="single" w:sz="16" w:space="0" w:color="000000"/>
            </w:tcBorders>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2336" w:type="dxa"/>
            <w:tcBorders>
              <w:bottom w:val="single" w:sz="16" w:space="0" w:color="000000"/>
            </w:tcBorders>
          </w:tcPr>
          <w:p>
            <w:pPr>
              <w:pStyle w:val="Contedodatabela"/>
              <w:widowControl w:val="false"/>
              <w:jc w:val="center"/>
              <w:rPr>
                <w:rFonts w:ascii="Times New Roman" w:hAnsi="Times New Roman"/>
                <w:b w:val="false"/>
                <w:bCs w:val="false"/>
                <w:i w:val="false"/>
                <w:i w:val="false"/>
                <w:iCs w:val="false"/>
                <w:strike w:val="false"/>
                <w:dstrike w:val="false"/>
                <w:outline w:val="false"/>
                <w:shadow w:val="false"/>
                <w:color w:val="000000"/>
                <w:sz w:val="16"/>
                <w:szCs w:val="16"/>
                <w:u w:val="none"/>
              </w:rPr>
            </w:pPr>
            <w:r>
              <w:rPr>
                <w:b w:val="false"/>
                <w:bCs w:val="false"/>
                <w:i w:val="false"/>
                <w:iCs w:val="false"/>
                <w:strike w:val="false"/>
                <w:dstrike w:val="false"/>
                <w:outline w:val="false"/>
                <w:shadow w:val="false"/>
                <w:color w:val="000000"/>
                <w:sz w:val="16"/>
                <w:szCs w:val="16"/>
                <w:u w:val="none"/>
              </w:rPr>
            </w:r>
          </w:p>
        </w:tc>
        <w:tc>
          <w:tcPr>
            <w:tcW w:w="3986" w:type="dxa"/>
            <w:tcBorders>
              <w:bottom w:val="single" w:sz="16" w:space="0" w:color="000000"/>
            </w:tcBorders>
          </w:tcPr>
          <w:p>
            <w:pPr>
              <w:pStyle w:val="Contedodatabela"/>
              <w:widowControl w:val="false"/>
              <w:jc w:val="left"/>
              <w:rPr>
                <w:rFonts w:ascii="Times New Roman" w:hAnsi="Times New Roman"/>
                <w:b/>
                <w:bCs/>
                <w:i w:val="false"/>
                <w:i w:val="false"/>
                <w:iCs w:val="false"/>
                <w:strike w:val="false"/>
                <w:dstrike w:val="false"/>
                <w:outline w:val="false"/>
                <w:shadow w:val="false"/>
                <w:color w:val="000000"/>
                <w:sz w:val="16"/>
                <w:szCs w:val="16"/>
                <w:u w:val="none"/>
              </w:rPr>
            </w:pPr>
            <w:r>
              <w:rPr>
                <w:b/>
                <w:bCs/>
                <w:i w:val="false"/>
                <w:iCs w:val="false"/>
                <w:strike w:val="false"/>
                <w:dstrike w:val="false"/>
                <w:outline w:val="false"/>
                <w:shadow w:val="false"/>
                <w:color w:val="000000"/>
                <w:sz w:val="16"/>
                <w:szCs w:val="16"/>
                <w:u w:val="none"/>
              </w:rPr>
              <w:t>TOTAL = 2.355</w:t>
            </w:r>
          </w:p>
        </w:tc>
      </w:tr>
    </w:tbl>
    <w:p>
      <w:pPr>
        <w:pStyle w:val="Normal"/>
        <w:spacing w:beforeAutospacing="1" w:afterAutospacing="1"/>
        <w:rPr/>
      </w:pPr>
      <w:r>
        <w:rPr/>
        <w:t>A população atendida pelos serviços socioassistenciais, em grande parte, enfrenta barreiras estruturais de acesso ao mercado de trabalho formal, tais como baixa escolaridade, ausência de qualificação profissional, renda insuficiente, histórico de desemprego prolongado e inserção em ocupações informais e precárias. Nesse contexto, a oferta de cursos profissionalizantes gratuitos constitui medida concreta de enfrentamento das desigualdades sociais, promovendo desenvolvimento de competências técnicas, fortalecimento da autonomia e ampliação das oportunidades de geração de renda. A disponibilização de ao menos 1 (um) kit de lanche simples por encontro, a cada atendido, é assegurar o mínimo de qualidade alimentar, e de bem estar social dos atendidos. Além de que por se tratar de kits estocáveis e de fácil armazenamento, não geram custos extras e demais gastos desnecessários de gestão, podendo continuar a ser disponibilizados durante o período contratual estimado, de 1 (um) ano, podendo, ser prorrogável a mais 1 (um), levando em consideração o fato de que, os kits serão requisitados conforme a demanda ao longo do período contratual vigente.</w:t>
      </w:r>
    </w:p>
    <w:p>
      <w:pPr>
        <w:pStyle w:val="Corpodotexto"/>
        <w:spacing w:beforeAutospacing="1" w:afterAutospacing="1"/>
        <w:rPr/>
      </w:pPr>
      <w:r>
        <w:rPr/>
        <w:t>Ressalta-se que, além das 5 (cinco) oficinas e dos 22 (vinte e dois) cursos ofertados pelo SENAC, verifica-se igualmente a necessidade de fornecimento de kits de lanches para atendimento a dois relevantes compromissos institucionais da Secretaria Municipal de Assistência Social, e um em desenvolvimento, pela Diretoria de Políticas Públicas para Mulheres em situação de acompanhamento, vítimas de Violência doméstica.</w:t>
      </w:r>
    </w:p>
    <w:p>
      <w:pPr>
        <w:pStyle w:val="Corpodotexto"/>
        <w:spacing w:beforeAutospacing="1" w:afterAutospacing="1"/>
        <w:rPr/>
      </w:pPr>
      <w:r>
        <w:rPr/>
        <w:t xml:space="preserve">O primeiro refere-se às reuniões mensais realizadas no âmbito do PAIF (Serviço de Proteção e Atendimento Integral à Família, que consistem em encontros coletivos voltados ao fortalecimento de vínculos familiares e comunitários, orientação socioassistencial e acompanhamento das famílias em situação de vulnerabilidade. Os encontros são realizados mensalmente, e são compostos por familiares atendidos, e os assistentes sociais do Município. Atualmente participam cerca de 22 (vinte e duas) famílias, composta por cerca de 4 (quatro) membros cada, trazendo portanto uma necessidade mensal de cerca de 88 kits lanches, e </w:t>
      </w:r>
      <w:r>
        <w:rPr>
          <w:u w:val="single"/>
        </w:rPr>
        <w:t>1.056 kits lanches anualmente.</w:t>
      </w:r>
    </w:p>
    <w:p>
      <w:pPr>
        <w:pStyle w:val="Corpodotexto"/>
        <w:rPr/>
      </w:pPr>
      <w:r>
        <w:rPr/>
        <w:t xml:space="preserve">O segundo diz respeito aos encontros semanais de convivência e lazer destinados à população idosa do Município, desenvolvidos com o apoio de voluntariado, os quais promovem integração social, fortalecimento de vínculos e valorização da dignidade da pessoa idosa, por meio de atividades recreativas, como a realização de bingos semanalmente, com duração de cerca de 3 (três) horas, e atualmente com participação de cerca de 60 (sessenta) idosos ao todo. Os bingos são realizados todas as quintas-feiras, por uma voluntária, dispensando a necessidade de outros custos com mão de obra. Estima-se portanto uma necessidade de kits de lanches prontos, de 240 unidades ao mês, e cerca de </w:t>
      </w:r>
      <w:r>
        <w:rPr>
          <w:i w:val="false"/>
          <w:iCs w:val="false"/>
          <w:u w:val="single"/>
        </w:rPr>
        <w:t>2.880 anualmente.</w:t>
      </w:r>
    </w:p>
    <w:p>
      <w:pPr>
        <w:pStyle w:val="Corpodotexto"/>
        <w:rPr/>
      </w:pPr>
      <w:r>
        <w:rPr/>
        <w:t>A Lei n°10.741/2003 do Estatuto da Pessoa Idosa, em seu Art. 2°, estabelece que:</w:t>
      </w:r>
    </w:p>
    <w:p>
      <w:pPr>
        <w:pStyle w:val="Corpodotexto"/>
        <w:rPr/>
      </w:pPr>
      <w:r>
        <w:rPr/>
        <w:t>“</w:t>
      </w:r>
      <w:r>
        <w:rPr/>
        <w:t xml:space="preserve">O idoso goza de todos os direitos fundamentais inerentes à pessoa humana, assegurando-se todas as oportunidades e facilidades para preservação de sua saúde física e mental e seu aperfeiçoamento moral, intelectual, espiritual e social, em condições de liberdade e dignidade.” </w:t>
      </w:r>
    </w:p>
    <w:p>
      <w:pPr>
        <w:pStyle w:val="Corpodotexto"/>
        <w:rPr/>
      </w:pPr>
      <w:r>
        <w:rPr/>
        <w:t xml:space="preserve">Essa disposição confere base jurídica para que a Administração Pública promova ações voltadas à </w:t>
      </w:r>
      <w:r>
        <w:rPr>
          <w:rStyle w:val="Strong"/>
          <w:b w:val="false"/>
          <w:bCs w:val="false"/>
        </w:rPr>
        <w:t>integração social e ao bem-estar dos idosos</w:t>
      </w:r>
      <w:r>
        <w:rPr/>
        <w:t>, pois o aperfeiçoamento social e a participação comunitária são direitos que devem ser garantidos por lei ou por outros meios.</w:t>
      </w:r>
    </w:p>
    <w:p>
      <w:pPr>
        <w:pStyle w:val="Corpodotexto"/>
        <w:rPr/>
      </w:pPr>
      <w:r>
        <w:rPr/>
      </w:r>
    </w:p>
    <w:p>
      <w:pPr>
        <w:pStyle w:val="Corpodotexto"/>
        <w:rPr/>
      </w:pPr>
      <w:r>
        <w:rPr/>
        <w:t xml:space="preserve">Além da previsão que consta na Constituição Federal de 1988, o </w:t>
      </w:r>
      <w:r>
        <w:rPr>
          <w:rStyle w:val="Strong"/>
          <w:b w:val="false"/>
          <w:bCs w:val="false"/>
        </w:rPr>
        <w:t>dever da família, da sociedade e do Estado</w:t>
      </w:r>
      <w:r>
        <w:rPr>
          <w:b w:val="false"/>
          <w:bCs w:val="false"/>
        </w:rPr>
        <w:t xml:space="preserve"> de assegurar à pessoa idosa, condições que garantam sua </w:t>
      </w:r>
      <w:r>
        <w:rPr>
          <w:rStyle w:val="Strong"/>
          <w:b w:val="false"/>
          <w:bCs w:val="false"/>
        </w:rPr>
        <w:t>participação na comunidade</w:t>
      </w:r>
      <w:r>
        <w:rPr/>
        <w:t xml:space="preserve">, defendam sua </w:t>
      </w:r>
      <w:r>
        <w:rPr>
          <w:rStyle w:val="Strong"/>
          <w:b w:val="false"/>
          <w:bCs w:val="false"/>
        </w:rPr>
        <w:t>dignidade e bem-estar</w:t>
      </w:r>
      <w:r>
        <w:rPr/>
        <w:t xml:space="preserve"> e garantam o direito à vida, incluindo programas que promovam conveniência e autonomia social. Isso reforça que atividades de convivência e lazer não são apenas agradáveis, mas </w:t>
      </w:r>
      <w:r>
        <w:rPr>
          <w:rStyle w:val="Strong"/>
          <w:b w:val="false"/>
          <w:bCs w:val="false"/>
        </w:rPr>
        <w:t>parte da efetivação dos direitos sociais dos idosos</w:t>
      </w:r>
      <w:r>
        <w:rPr>
          <w:b w:val="false"/>
          <w:bCs w:val="false"/>
        </w:rPr>
        <w:t xml:space="preserve">. </w:t>
      </w:r>
    </w:p>
    <w:p>
      <w:pPr>
        <w:pStyle w:val="Corpodotexto"/>
        <w:rPr/>
      </w:pPr>
      <w:r>
        <w:rPr>
          <w:b w:val="false"/>
          <w:bCs w:val="false"/>
        </w:rPr>
        <w:t xml:space="preserve">E por fim, A oferta de </w:t>
      </w:r>
      <w:r>
        <w:rPr>
          <w:rStyle w:val="Nfase"/>
          <w:b w:val="false"/>
          <w:bCs w:val="false"/>
          <w:i w:val="false"/>
          <w:iCs w:val="false"/>
        </w:rPr>
        <w:t>kit lanches</w:t>
      </w:r>
      <w:r>
        <w:rPr>
          <w:b w:val="false"/>
          <w:bCs w:val="false"/>
        </w:rPr>
        <w:t xml:space="preserve">, por meio da Diretoria de Políticas Públicas para Mulheres, para o desenvolvimento adequado dos encontros mensais previstos em parceria com a UENP e o NUMAPE, destinados a atender 120 mulheres em situação de violência doméstica e sob medida protetiva, em atividades de grupo com caráter terapêutico, com média de 2 (duas) horas de duração. </w:t>
      </w:r>
    </w:p>
    <w:p>
      <w:pPr>
        <w:pStyle w:val="Corpodotexto"/>
        <w:rPr/>
      </w:pPr>
      <w:r>
        <w:rPr>
          <w:b w:val="false"/>
          <w:bCs w:val="false"/>
        </w:rPr>
        <w:t xml:space="preserve">Tal iniciativa não configura mera conveniência, mas resposta institucional prevista nas diretrizes do </w:t>
      </w:r>
      <w:r>
        <w:rPr>
          <w:rStyle w:val="Strong"/>
          <w:b w:val="false"/>
          <w:bCs w:val="false"/>
        </w:rPr>
        <w:t>Sistema Único de Assistência Social (SUAS)</w:t>
      </w:r>
      <w:r>
        <w:rPr>
          <w:b w:val="false"/>
          <w:bCs w:val="false"/>
        </w:rPr>
        <w:t>, que assegura a proteção social às famílias e indivíduos em vulnerabilidade e risco social (Lei nº 8.742/1993 – LOAS), bem como reforça os direitos constitucionais à dignidade da pessoa humana e à proteção contra a violência, conforme preconizado na</w:t>
      </w:r>
      <w:r>
        <w:rPr>
          <w:b/>
          <w:bCs/>
        </w:rPr>
        <w:t xml:space="preserve"> </w:t>
      </w:r>
      <w:r>
        <w:rPr>
          <w:rStyle w:val="Strong"/>
          <w:b/>
          <w:bCs/>
        </w:rPr>
        <w:t>Lei Maria da Penha (Lei nº 11.340/2006)</w:t>
      </w:r>
      <w:r>
        <w:rPr>
          <w:b/>
          <w:bCs/>
        </w:rPr>
        <w:t>,</w:t>
      </w:r>
      <w:r>
        <w:rPr>
          <w:b w:val="false"/>
          <w:bCs w:val="false"/>
        </w:rPr>
        <w:t xml:space="preserve"> que exige o enfrentamento integral à violência doméstica e o suporte continuado às vítimas. Ao prover condições básicas de acolhimento, como alimentação leve durante atividades terapêuticas, a Assistência Social cumpre seu papel constitucional e legal de promoção de segurança, autonomia e bem-estar, garantindo não apenas a presença efetiva dessas mulheres nos encontros, mas também o respeito à sua integridade física e emocional, fortalecendo vínculos sociais e contribuindo para a superação das situações de violência que enfrentam. Estima-se portanto, a necessidade de fornecimento de kits lanches numa quantia mensal de 120, e anual de 1.200, considerando que serão atendidas c</w:t>
      </w:r>
      <w:r>
        <w:rPr>
          <w:b w:val="false"/>
          <w:bCs w:val="false"/>
        </w:rPr>
        <w:t>ento e vinte</w:t>
      </w:r>
      <w:r>
        <w:rPr>
          <w:b w:val="false"/>
          <w:bCs w:val="false"/>
        </w:rPr>
        <w:t xml:space="preserve"> mulheres a cada encontro.</w:t>
      </w:r>
    </w:p>
    <w:p>
      <w:pPr>
        <w:pStyle w:val="Corpodotexto"/>
        <w:rPr/>
      </w:pPr>
      <w:r>
        <w:rPr/>
        <w:t>Dessa forma, o fornecimento de kits de lanches mostra-se necessário para assegurar acolhimento adequado, permanência qualificada dos participantes e regularidade na execução dessas ações, em consonância com os objetivos da política pública de assistência social.</w:t>
      </w:r>
    </w:p>
    <w:tbl>
      <w:tblPr>
        <w:tblStyle w:val="Tabelacomgrade"/>
        <w:tblW w:w="13773"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96"/>
        <w:gridCol w:w="3715"/>
        <w:gridCol w:w="1275"/>
        <w:gridCol w:w="397"/>
        <w:gridCol w:w="30"/>
        <w:gridCol w:w="3570"/>
        <w:gridCol w:w="4390"/>
      </w:tblGrid>
      <w:tr>
        <w:trPr/>
        <w:tc>
          <w:tcPr>
            <w:tcW w:w="9383" w:type="dxa"/>
            <w:gridSpan w:val="6"/>
            <w:tcBorders/>
            <w:shd w:color="auto" w:fill="C6D9F1" w:themeFill="text2" w:themeFillTint="33" w:val="clear"/>
          </w:tcPr>
          <w:p>
            <w:pPr>
              <w:pStyle w:val="Normal"/>
              <w:widowControl w:val="false"/>
              <w:spacing w:before="0" w:after="0"/>
              <w:ind w:right="-2" w:hanging="0"/>
              <w:jc w:val="both"/>
              <w:rPr>
                <w:b/>
                <w:bCs/>
                <w:sz w:val="22"/>
                <w:szCs w:val="22"/>
              </w:rPr>
            </w:pPr>
            <w:r>
              <w:rPr>
                <w:rFonts w:eastAsia="Times New Roman" w:cs="Times New Roman"/>
                <w:b/>
                <w:bCs/>
                <w:kern w:val="0"/>
                <w:sz w:val="22"/>
                <w:szCs w:val="22"/>
                <w:lang w:val="pt-BR" w:eastAsia="pt-BR" w:bidi="ar-SA"/>
              </w:rPr>
              <w:t>2. Alinhamento entre a contratação e o planejamento da Administração (artigo 15, §1º, II, do Decreto nº 3.537/2023):</w:t>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r>
        <w:trPr/>
        <w:tc>
          <w:tcPr>
            <w:tcW w:w="9383" w:type="dxa"/>
            <w:gridSpan w:val="6"/>
            <w:tcBorders>
              <w:left w:val="nil"/>
              <w:bottom w:val="nil"/>
              <w:right w:val="nil"/>
            </w:tcBorders>
          </w:tcPr>
          <w:p>
            <w:pPr>
              <w:pStyle w:val="Normal"/>
              <w:widowControl w:val="false"/>
              <w:spacing w:before="0" w:after="0"/>
              <w:ind w:right="-2" w:hanging="0"/>
              <w:jc w:val="both"/>
              <w:rPr>
                <w:sz w:val="22"/>
                <w:szCs w:val="22"/>
              </w:rPr>
            </w:pPr>
            <w:r>
              <w:rPr>
                <w:sz w:val="22"/>
                <w:szCs w:val="22"/>
              </w:rPr>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r>
        <w:trPr>
          <w:trHeight w:val="382" w:hRule="atLeast"/>
        </w:trPr>
        <w:tc>
          <w:tcPr>
            <w:tcW w:w="396" w:type="dxa"/>
            <w:tcBorders/>
          </w:tcPr>
          <w:p>
            <w:pPr>
              <w:pStyle w:val="Normal"/>
              <w:widowControl w:val="false"/>
              <w:spacing w:before="0" w:after="0"/>
              <w:ind w:right="-2" w:hanging="0"/>
              <w:jc w:val="both"/>
              <w:rPr>
                <w:color w:val="FF0000"/>
                <w:sz w:val="22"/>
                <w:szCs w:val="22"/>
              </w:rPr>
            </w:pPr>
            <w:r>
              <w:rPr>
                <w:rFonts w:eastAsia="Times New Roman" w:cs="Times New Roman"/>
                <w:color w:val="FF0000"/>
                <w:kern w:val="0"/>
                <w:sz w:val="22"/>
                <w:szCs w:val="22"/>
                <w:lang w:val="pt-BR" w:eastAsia="pt-BR" w:bidi="ar-SA"/>
              </w:rPr>
              <w:t>X</w:t>
            </w:r>
          </w:p>
        </w:tc>
        <w:tc>
          <w:tcPr>
            <w:tcW w:w="4990" w:type="dxa"/>
            <w:gridSpan w:val="2"/>
            <w:tcBorders>
              <w:top w:val="nil"/>
              <w:bottom w:val="nil"/>
            </w:tcBorders>
          </w:tcPr>
          <w:p>
            <w:pPr>
              <w:pStyle w:val="Normal"/>
              <w:widowControl w:val="false"/>
              <w:spacing w:before="0" w:after="0"/>
              <w:ind w:right="-2" w:hanging="0"/>
              <w:jc w:val="both"/>
              <w:rPr>
                <w:sz w:val="22"/>
                <w:szCs w:val="22"/>
              </w:rPr>
            </w:pPr>
            <w:r>
              <w:rPr>
                <w:rFonts w:eastAsia="Times New Roman" w:cs="Times New Roman"/>
                <w:b/>
                <w:bCs/>
                <w:kern w:val="0"/>
                <w:sz w:val="22"/>
                <w:szCs w:val="22"/>
                <w:lang w:val="pt-BR" w:eastAsia="pt-BR" w:bidi="ar-SA"/>
              </w:rPr>
              <w:t>Sim</w:t>
            </w:r>
            <w:r>
              <w:rPr>
                <w:rFonts w:eastAsia="Times New Roman" w:cs="Times New Roman"/>
                <w:kern w:val="0"/>
                <w:sz w:val="22"/>
                <w:szCs w:val="22"/>
                <w:lang w:val="pt-BR" w:eastAsia="pt-BR" w:bidi="ar-SA"/>
              </w:rPr>
              <w:t xml:space="preserve"> – Especificar Ano: 2026</w:t>
            </w:r>
          </w:p>
        </w:tc>
        <w:tc>
          <w:tcPr>
            <w:tcW w:w="427" w:type="dxa"/>
            <w:gridSpan w:val="2"/>
            <w:tcBorders/>
          </w:tcPr>
          <w:p>
            <w:pPr>
              <w:pStyle w:val="Normal"/>
              <w:widowControl w:val="false"/>
              <w:spacing w:before="0" w:after="0"/>
              <w:ind w:right="-2" w:hanging="0"/>
              <w:jc w:val="both"/>
              <w:rPr>
                <w:sz w:val="22"/>
                <w:szCs w:val="22"/>
              </w:rPr>
            </w:pPr>
            <w:r>
              <w:rPr>
                <w:sz w:val="22"/>
                <w:szCs w:val="22"/>
              </w:rPr>
            </w:r>
          </w:p>
        </w:tc>
        <w:tc>
          <w:tcPr>
            <w:tcW w:w="3570" w:type="dxa"/>
            <w:tcBorders>
              <w:top w:val="nil"/>
              <w:bottom w:val="nil"/>
              <w:right w:val="nil"/>
            </w:tcBorders>
          </w:tcPr>
          <w:p>
            <w:pPr>
              <w:pStyle w:val="Normal"/>
              <w:widowControl w:val="false"/>
              <w:spacing w:before="0" w:after="0"/>
              <w:ind w:right="-2" w:hanging="0"/>
              <w:jc w:val="both"/>
              <w:rPr>
                <w:sz w:val="22"/>
                <w:szCs w:val="22"/>
              </w:rPr>
            </w:pPr>
            <w:r>
              <w:rPr>
                <w:rFonts w:eastAsia="Times New Roman" w:cs="Times New Roman"/>
                <w:b/>
                <w:bCs/>
                <w:kern w:val="0"/>
                <w:sz w:val="22"/>
                <w:szCs w:val="22"/>
                <w:lang w:val="pt-BR" w:eastAsia="pt-BR" w:bidi="ar-SA"/>
              </w:rPr>
              <w:t>Não</w:t>
            </w:r>
            <w:r>
              <w:rPr>
                <w:rFonts w:eastAsia="Times New Roman" w:cs="Times New Roman"/>
                <w:kern w:val="0"/>
                <w:sz w:val="22"/>
                <w:szCs w:val="22"/>
                <w:lang w:val="pt-BR" w:eastAsia="pt-BR" w:bidi="ar-SA"/>
              </w:rPr>
              <w:t xml:space="preserve"> – Justificar em item 2.1.</w:t>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r>
        <w:trPr>
          <w:trHeight w:val="100" w:hRule="atLeast"/>
        </w:trPr>
        <w:tc>
          <w:tcPr>
            <w:tcW w:w="9383" w:type="dxa"/>
            <w:gridSpan w:val="6"/>
            <w:tcBorders>
              <w:top w:val="nil"/>
              <w:left w:val="nil"/>
              <w:bottom w:val="nil"/>
              <w:right w:val="nil"/>
            </w:tcBorders>
          </w:tcPr>
          <w:p>
            <w:pPr>
              <w:pStyle w:val="Normal"/>
              <w:widowControl w:val="false"/>
              <w:spacing w:lineRule="auto" w:line="276" w:before="0" w:after="0"/>
              <w:ind w:left="-119" w:right="-2" w:hanging="2"/>
              <w:jc w:val="both"/>
              <w:rPr>
                <w:rFonts w:eastAsia="Merriweather"/>
              </w:rPr>
            </w:pPr>
            <w:r>
              <w:rPr>
                <w:rFonts w:eastAsia="Merriweather"/>
                <w:sz w:val="24"/>
              </w:rPr>
            </w:r>
          </w:p>
          <w:p>
            <w:pPr>
              <w:pStyle w:val="Normal"/>
              <w:widowControl w:val="false"/>
              <w:spacing w:lineRule="auto" w:line="276" w:before="0" w:after="0"/>
              <w:ind w:left="-119" w:right="-2" w:hanging="2"/>
              <w:jc w:val="both"/>
              <w:rPr>
                <w:rFonts w:ascii="Times New Roman" w:hAnsi="Times New Roman" w:cs="Times New Roman"/>
                <w:kern w:val="0"/>
                <w:sz w:val="24"/>
                <w:szCs w:val="24"/>
                <w:lang w:val="pt-BR" w:eastAsia="pt-BR" w:bidi="ar-SA"/>
              </w:rPr>
            </w:pPr>
            <w:r>
              <w:rPr>
                <w:rFonts w:eastAsia="Merriweather" w:cs="Times New Roman"/>
                <w:kern w:val="0"/>
                <w:sz w:val="24"/>
                <w:szCs w:val="24"/>
                <w:lang w:val="pt-BR" w:eastAsia="pt-BR" w:bidi="ar-SA"/>
              </w:rPr>
              <w:t>O objeto da contratação está previsto no Plano de Contratações Anual de 2026, conforme 3° Alteração da edição, ano: 2026, publicado ao dia 06 de Fevereiro de 2026, de acordo com o detalhamento a seguir:</w:t>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r>
        <w:trPr/>
        <w:tc>
          <w:tcPr>
            <w:tcW w:w="4111" w:type="dxa"/>
            <w:gridSpan w:val="2"/>
            <w:tcBorders/>
            <w:shd w:color="auto" w:fill="DBE5F1" w:themeFill="accent1" w:themeFillTint="33" w:val="clear"/>
          </w:tcPr>
          <w:p>
            <w:pPr>
              <w:pStyle w:val="Normal"/>
              <w:widowControl w:val="false"/>
              <w:spacing w:before="0" w:after="0"/>
              <w:ind w:right="-2" w:hanging="2"/>
              <w:jc w:val="center"/>
              <w:rPr>
                <w:rFonts w:ascii="Times New Roman" w:hAnsi="Times New Roman" w:eastAsia="Times New Roman" w:cs="Times New Roman"/>
                <w:kern w:val="0"/>
                <w:lang w:val="pt-BR" w:eastAsia="pt-BR" w:bidi="ar-SA"/>
              </w:rPr>
            </w:pPr>
            <w:r>
              <w:rPr>
                <w:rFonts w:eastAsia="Times New Roman" w:cs="Times New Roman"/>
                <w:b/>
                <w:kern w:val="0"/>
                <w:sz w:val="22"/>
                <w:szCs w:val="22"/>
                <w:lang w:val="pt-BR" w:eastAsia="pt-BR" w:bidi="ar-SA"/>
              </w:rPr>
              <w:t>SECRETARIA</w:t>
            </w:r>
          </w:p>
        </w:tc>
        <w:tc>
          <w:tcPr>
            <w:tcW w:w="1672" w:type="dxa"/>
            <w:gridSpan w:val="2"/>
            <w:tcBorders/>
            <w:shd w:color="auto" w:fill="DBE5F1" w:themeFill="accent1" w:themeFillTint="33" w:val="clear"/>
            <w:vAlign w:val="center"/>
          </w:tcPr>
          <w:p>
            <w:pPr>
              <w:pStyle w:val="Normal"/>
              <w:widowControl w:val="false"/>
              <w:spacing w:before="0" w:after="0"/>
              <w:ind w:right="-2" w:hanging="2"/>
              <w:jc w:val="center"/>
              <w:rPr>
                <w:rFonts w:ascii="Times New Roman" w:hAnsi="Times New Roman" w:eastAsia="Times New Roman" w:cs="Times New Roman"/>
                <w:kern w:val="0"/>
                <w:lang w:val="pt-BR" w:eastAsia="pt-BR" w:bidi="ar-SA"/>
              </w:rPr>
            </w:pPr>
            <w:r>
              <w:rPr>
                <w:rFonts w:eastAsia="Times New Roman" w:cs="Times New Roman"/>
                <w:b/>
                <w:kern w:val="0"/>
                <w:sz w:val="22"/>
                <w:szCs w:val="22"/>
                <w:lang w:val="pt-BR" w:eastAsia="pt-BR" w:bidi="ar-SA"/>
              </w:rPr>
              <w:t>DEMANDA</w:t>
            </w:r>
          </w:p>
        </w:tc>
        <w:tc>
          <w:tcPr>
            <w:tcW w:w="3600" w:type="dxa"/>
            <w:gridSpan w:val="2"/>
            <w:tcBorders/>
            <w:shd w:color="auto" w:fill="DBE5F1" w:themeFill="accent1" w:themeFillTint="33" w:val="clear"/>
          </w:tcPr>
          <w:p>
            <w:pPr>
              <w:pStyle w:val="Normal"/>
              <w:widowControl w:val="false"/>
              <w:spacing w:before="0" w:after="0"/>
              <w:ind w:right="-2" w:hanging="2"/>
              <w:jc w:val="center"/>
              <w:rPr>
                <w:rFonts w:ascii="Times New Roman" w:hAnsi="Times New Roman" w:eastAsia="Times New Roman" w:cs="Times New Roman"/>
                <w:kern w:val="0"/>
                <w:lang w:val="pt-BR" w:eastAsia="pt-BR" w:bidi="ar-SA"/>
              </w:rPr>
            </w:pPr>
            <w:r>
              <w:rPr>
                <w:rFonts w:eastAsia="Times New Roman" w:cs="Times New Roman"/>
                <w:b/>
                <w:kern w:val="0"/>
                <w:sz w:val="22"/>
                <w:szCs w:val="22"/>
                <w:lang w:val="pt-BR" w:eastAsia="pt-BR" w:bidi="ar-SA"/>
              </w:rPr>
              <w:t>PÁGINA DA EDIÇÃO</w:t>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r>
        <w:trPr>
          <w:trHeight w:val="240" w:hRule="atLeast"/>
        </w:trPr>
        <w:tc>
          <w:tcPr>
            <w:tcW w:w="4111" w:type="dxa"/>
            <w:gridSpan w:val="2"/>
            <w:tcBorders/>
            <w:vAlign w:val="center"/>
          </w:tcPr>
          <w:p>
            <w:pPr>
              <w:pStyle w:val="Normal"/>
              <w:widowControl w:val="false"/>
              <w:spacing w:before="0" w:after="0"/>
              <w:ind w:right="-2" w:hanging="2"/>
              <w:jc w:val="center"/>
              <w:rPr>
                <w:rFonts w:ascii="Arial" w:hAnsi="Arial" w:cs="Arial"/>
                <w:sz w:val="18"/>
                <w:szCs w:val="18"/>
                <w:highlight w:val="yellow"/>
              </w:rPr>
            </w:pPr>
            <w:r>
              <w:rPr>
                <w:rFonts w:cs="Arial" w:ascii="Arial" w:hAnsi="Arial"/>
                <w:sz w:val="18"/>
                <w:szCs w:val="18"/>
                <w:highlight w:val="yellow"/>
              </w:rPr>
            </w:r>
          </w:p>
          <w:p>
            <w:pPr>
              <w:pStyle w:val="Normal"/>
              <w:widowControl w:val="false"/>
              <w:spacing w:before="0" w:after="0"/>
              <w:ind w:right="-2" w:hanging="2"/>
              <w:jc w:val="center"/>
              <w:rPr>
                <w:rFonts w:ascii="Arial" w:hAnsi="Arial" w:cs="Arial"/>
                <w:sz w:val="18"/>
                <w:szCs w:val="18"/>
              </w:rPr>
            </w:pPr>
            <w:r>
              <w:rPr>
                <w:rFonts w:eastAsia="Times New Roman" w:cs="Arial" w:ascii="Arial" w:hAnsi="Arial"/>
                <w:kern w:val="0"/>
                <w:sz w:val="18"/>
                <w:szCs w:val="18"/>
                <w:lang w:val="pt-BR" w:eastAsia="pt-BR" w:bidi="ar-SA"/>
              </w:rPr>
              <w:t>SECRETARIA MUNICIPAL DE ASSISTÊNCIASOCIAL E POLITICA M</w:t>
            </w:r>
          </w:p>
          <w:p>
            <w:pPr>
              <w:pStyle w:val="Normal"/>
              <w:widowControl w:val="false"/>
              <w:spacing w:before="0" w:after="0"/>
              <w:ind w:right="-2" w:hanging="2"/>
              <w:jc w:val="center"/>
              <w:rPr>
                <w:rFonts w:ascii="Arial" w:hAnsi="Arial" w:cs="Arial"/>
                <w:sz w:val="18"/>
                <w:szCs w:val="18"/>
                <w:highlight w:val="yellow"/>
              </w:rPr>
            </w:pPr>
            <w:r>
              <w:rPr>
                <w:rFonts w:cs="Arial" w:ascii="Arial" w:hAnsi="Arial"/>
                <w:sz w:val="18"/>
                <w:szCs w:val="18"/>
                <w:highlight w:val="yellow"/>
              </w:rPr>
            </w:r>
          </w:p>
        </w:tc>
        <w:tc>
          <w:tcPr>
            <w:tcW w:w="1672" w:type="dxa"/>
            <w:gridSpan w:val="2"/>
            <w:tcBorders/>
            <w:vAlign w:val="center"/>
          </w:tcPr>
          <w:p>
            <w:pPr>
              <w:pStyle w:val="Normal"/>
              <w:widowControl w:val="false"/>
              <w:spacing w:before="0" w:after="0"/>
              <w:ind w:right="-2" w:hanging="2"/>
              <w:jc w:val="center"/>
              <w:rPr>
                <w:rFonts w:ascii="Arial" w:hAnsi="Arial" w:cs="Arial"/>
                <w:sz w:val="18"/>
                <w:szCs w:val="18"/>
                <w:highlight w:val="yellow"/>
              </w:rPr>
            </w:pPr>
            <w:r>
              <w:rPr>
                <w:rFonts w:eastAsia="Times New Roman" w:cs="Arial" w:ascii="Arial" w:hAnsi="Arial"/>
                <w:kern w:val="0"/>
                <w:sz w:val="18"/>
                <w:szCs w:val="18"/>
                <w:lang w:val="pt-BR" w:eastAsia="pt-BR" w:bidi="ar-SA"/>
              </w:rPr>
              <w:t>SASM0019</w:t>
            </w:r>
          </w:p>
        </w:tc>
        <w:tc>
          <w:tcPr>
            <w:tcW w:w="3600" w:type="dxa"/>
            <w:gridSpan w:val="2"/>
            <w:tcBorders/>
            <w:vAlign w:val="center"/>
          </w:tcPr>
          <w:p>
            <w:pPr>
              <w:pStyle w:val="Normal"/>
              <w:widowControl w:val="false"/>
              <w:tabs>
                <w:tab w:val="clear" w:pos="720"/>
                <w:tab w:val="left" w:pos="567" w:leader="none"/>
              </w:tabs>
              <w:spacing w:before="0" w:after="0"/>
              <w:ind w:right="-2" w:hanging="2"/>
              <w:jc w:val="center"/>
              <w:rPr>
                <w:rFonts w:ascii="Arial" w:hAnsi="Arial" w:cs="Arial"/>
                <w:sz w:val="18"/>
                <w:szCs w:val="18"/>
                <w:highlight w:val="yellow"/>
              </w:rPr>
            </w:pPr>
            <w:r>
              <w:rPr>
                <w:rFonts w:eastAsia="Times New Roman" w:cs="Arial" w:ascii="Arial" w:hAnsi="Arial"/>
                <w:kern w:val="0"/>
                <w:sz w:val="18"/>
                <w:szCs w:val="18"/>
                <w:lang w:val="pt-BR" w:eastAsia="pt-BR" w:bidi="ar-SA"/>
              </w:rPr>
              <w:t>Página 35</w:t>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r>
        <w:trPr/>
        <w:tc>
          <w:tcPr>
            <w:tcW w:w="9383" w:type="dxa"/>
            <w:gridSpan w:val="6"/>
            <w:tcBorders/>
            <w:shd w:color="auto" w:fill="DBE5F1" w:themeFill="accent1" w:themeFillTint="33" w:val="clear"/>
          </w:tcPr>
          <w:p>
            <w:pPr>
              <w:pStyle w:val="Normal"/>
              <w:widowControl w:val="false"/>
              <w:spacing w:before="0" w:after="0"/>
              <w:ind w:hanging="2"/>
              <w:jc w:val="center"/>
              <w:rPr>
                <w:b/>
                <w:sz w:val="22"/>
                <w:szCs w:val="22"/>
              </w:rPr>
            </w:pPr>
            <w:r>
              <w:rPr>
                <w:rFonts w:eastAsia="Times New Roman" w:cs="Times New Roman"/>
                <w:b/>
                <w:kern w:val="0"/>
                <w:sz w:val="22"/>
                <w:szCs w:val="22"/>
                <w:lang w:val="pt-BR" w:eastAsia="pt-BR" w:bidi="ar-SA"/>
              </w:rPr>
              <w:t>SECRETARIA</w:t>
            </w:r>
          </w:p>
        </w:tc>
        <w:tc>
          <w:tcPr>
            <w:tcW w:w="4390" w:type="dxa"/>
            <w:tcBorders>
              <w:top w:val="nil"/>
              <w:bottom w:val="nil"/>
              <w:right w:val="nil"/>
            </w:tcBorders>
          </w:tcPr>
          <w:p>
            <w:pPr>
              <w:pStyle w:val="Normal"/>
              <w:widowControl w:val="false"/>
              <w:spacing w:before="0" w:after="0"/>
              <w:ind w:hanging="2"/>
              <w:jc w:val="center"/>
              <w:rPr>
                <w:b/>
                <w:sz w:val="22"/>
                <w:szCs w:val="22"/>
              </w:rPr>
            </w:pPr>
            <w:r>
              <w:rPr>
                <w:b/>
                <w:sz w:val="22"/>
                <w:szCs w:val="22"/>
              </w:rPr>
            </w:r>
          </w:p>
        </w:tc>
      </w:tr>
      <w:tr>
        <w:trPr/>
        <w:tc>
          <w:tcPr>
            <w:tcW w:w="9383" w:type="dxa"/>
            <w:gridSpan w:val="6"/>
            <w:tcBorders/>
            <w:shd w:color="auto" w:fill="DBE5F1" w:themeFill="accent1" w:themeFillTint="33" w:val="clear"/>
          </w:tcPr>
          <w:p>
            <w:pPr>
              <w:pStyle w:val="Normal"/>
              <w:widowControl w:val="false"/>
              <w:spacing w:before="0" w:after="0"/>
              <w:ind w:hanging="2"/>
              <w:jc w:val="center"/>
              <w:rPr>
                <w:color w:val="FF0000"/>
                <w:sz w:val="22"/>
                <w:szCs w:val="22"/>
              </w:rPr>
            </w:pPr>
            <w:r>
              <w:rPr>
                <w:rFonts w:eastAsia="Times New Roman" w:cs="Arial" w:ascii="Arial" w:hAnsi="Arial"/>
                <w:kern w:val="0"/>
                <w:sz w:val="22"/>
                <w:szCs w:val="22"/>
                <w:lang w:val="pt-BR" w:eastAsia="pt-BR" w:bidi="ar-SA"/>
              </w:rPr>
              <w:t>ASSISTÊNCIA SOCIAL</w:t>
            </w:r>
          </w:p>
        </w:tc>
        <w:tc>
          <w:tcPr>
            <w:tcW w:w="4390" w:type="dxa"/>
            <w:tcBorders>
              <w:top w:val="nil"/>
              <w:bottom w:val="nil"/>
              <w:right w:val="nil"/>
            </w:tcBorders>
          </w:tcPr>
          <w:p>
            <w:pPr>
              <w:pStyle w:val="Normal"/>
              <w:widowControl w:val="false"/>
              <w:spacing w:before="0" w:after="0"/>
              <w:ind w:hanging="2"/>
              <w:jc w:val="center"/>
              <w:rPr>
                <w:color w:val="FF0000"/>
                <w:sz w:val="22"/>
                <w:szCs w:val="22"/>
              </w:rPr>
            </w:pPr>
            <w:r>
              <w:rPr>
                <w:rFonts w:eastAsia="Times New Roman" w:cs="Times New Roman"/>
                <w:kern w:val="0"/>
                <w:sz w:val="24"/>
                <w:szCs w:val="24"/>
                <w:lang w:val="pt-BR" w:eastAsia="pt-BR" w:bidi="ar-SA"/>
              </w:rPr>
              <w:t>SEQ.48AD</w:t>
            </w:r>
          </w:p>
        </w:tc>
      </w:tr>
      <w:tr>
        <w:trPr/>
        <w:tc>
          <w:tcPr>
            <w:tcW w:w="9383" w:type="dxa"/>
            <w:gridSpan w:val="6"/>
            <w:tcBorders/>
            <w:shd w:color="auto" w:fill="auto" w:val="clear"/>
          </w:tcPr>
          <w:p>
            <w:pPr>
              <w:pStyle w:val="Normal"/>
              <w:widowControl w:val="false"/>
              <w:spacing w:before="0" w:after="0"/>
              <w:jc w:val="left"/>
              <w:rPr>
                <w:sz w:val="22"/>
                <w:szCs w:val="22"/>
              </w:rPr>
            </w:pPr>
            <w:r>
              <w:rPr>
                <w:sz w:val="22"/>
                <w:szCs w:val="22"/>
              </w:rPr>
            </w:r>
          </w:p>
          <w:p>
            <w:pPr>
              <w:pStyle w:val="Normal"/>
              <w:widowControl w:val="false"/>
              <w:spacing w:before="0" w:after="0"/>
              <w:jc w:val="left"/>
              <w:rPr>
                <w:sz w:val="22"/>
                <w:szCs w:val="22"/>
              </w:rPr>
            </w:pPr>
            <w:r>
              <w:rPr>
                <w:rFonts w:eastAsia="Times New Roman" w:cs="Times New Roman"/>
                <w:kern w:val="0"/>
                <w:sz w:val="22"/>
                <w:szCs w:val="22"/>
                <w:lang w:val="pt-BR" w:eastAsia="pt-BR" w:bidi="ar-SA"/>
              </w:rPr>
              <w:t xml:space="preserve">2.2. </w:t>
            </w:r>
            <w:r>
              <w:rPr>
                <w:rFonts w:eastAsia="Times New Roman" w:cs="Times New Roman"/>
                <w:b/>
                <w:bCs/>
                <w:kern w:val="0"/>
                <w:sz w:val="22"/>
                <w:szCs w:val="22"/>
                <w:lang w:val="pt-BR" w:eastAsia="pt-BR" w:bidi="ar-SA"/>
              </w:rPr>
              <w:t>CRÉDITOS ORÇAMENTÁRIOS:</w:t>
            </w:r>
          </w:p>
          <w:p>
            <w:pPr>
              <w:pStyle w:val="Normal"/>
              <w:widowControl w:val="false"/>
              <w:spacing w:before="0" w:after="0"/>
              <w:ind w:hanging="2"/>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p>
            <w:pPr>
              <w:pStyle w:val="ListParagraph"/>
              <w:widowControl w:val="false"/>
              <w:numPr>
                <w:ilvl w:val="0"/>
                <w:numId w:val="11"/>
              </w:numPr>
              <w:spacing w:before="0" w:after="0"/>
              <w:contextualSpacing/>
              <w:jc w:val="left"/>
              <w:rPr>
                <w:rFonts w:ascii="Times New Roman" w:hAnsi="Times New Roman" w:eastAsia="Times New Roman" w:cs="Times New Roman"/>
                <w:kern w:val="0"/>
                <w:szCs w:val="24"/>
                <w:highlight w:val="none"/>
                <w:shd w:fill="FFFFFF" w:val="clear"/>
                <w:lang w:val="pt-BR" w:eastAsia="pt-BR" w:bidi="ar-SA"/>
              </w:rPr>
            </w:pPr>
            <w:r>
              <w:rPr>
                <w:rFonts w:eastAsia="Times New Roman" w:cs="Times New Roman"/>
                <w:kern w:val="0"/>
                <w:sz w:val="22"/>
                <w:szCs w:val="24"/>
                <w:shd w:fill="FFFFFF" w:val="clear"/>
                <w:lang w:val="pt-BR" w:eastAsia="pt-BR" w:bidi="ar-SA"/>
              </w:rPr>
              <w:t>352 – 10.001.08.122.0469.2469.3.3.90.30.00 – MATERIAL DE CONSUMO -00777/01014.11.99.07.21.2.749.0000 - MANUTENÇÃO DA SECRETARIA DE AÇÃO SOCIAL</w:t>
            </w:r>
          </w:p>
          <w:p>
            <w:pPr>
              <w:pStyle w:val="ListParagraph"/>
              <w:widowControl w:val="false"/>
              <w:numPr>
                <w:ilvl w:val="0"/>
                <w:numId w:val="11"/>
              </w:numPr>
              <w:spacing w:before="0" w:after="0"/>
              <w:contextualSpacing/>
              <w:jc w:val="left"/>
              <w:rPr>
                <w:rFonts w:ascii="Times New Roman" w:hAnsi="Times New Roman" w:eastAsia="Times New Roman" w:cs="Times New Roman"/>
                <w:kern w:val="0"/>
                <w:szCs w:val="24"/>
                <w:highlight w:val="none"/>
                <w:shd w:fill="FFFFFF" w:val="clear"/>
                <w:lang w:val="pt-BR" w:eastAsia="pt-BR" w:bidi="ar-SA"/>
              </w:rPr>
            </w:pPr>
            <w:r>
              <w:rPr>
                <w:rFonts w:eastAsia="Times New Roman" w:cs="Times New Roman"/>
                <w:kern w:val="0"/>
                <w:sz w:val="22"/>
                <w:szCs w:val="24"/>
                <w:shd w:fill="FFFFFF" w:val="clear"/>
                <w:lang w:val="pt-BR" w:eastAsia="pt-BR" w:bidi="ar-SA"/>
              </w:rPr>
              <w:t>352 - 10.001.08.122.0469.2469.3.3.90.30.00 – MATERIAL DE CONSUMO -04013/01017.12.06.00.00.2.669.3120 - MANUTENÇÃO DA SECRETARIA DE AÇÃO SOCIAL</w:t>
            </w:r>
          </w:p>
          <w:p>
            <w:pPr>
              <w:pStyle w:val="ListParagraph"/>
              <w:widowControl w:val="false"/>
              <w:numPr>
                <w:ilvl w:val="0"/>
                <w:numId w:val="11"/>
              </w:numPr>
              <w:spacing w:before="0" w:after="0"/>
              <w:contextualSpacing/>
              <w:jc w:val="left"/>
              <w:rPr>
                <w:rFonts w:ascii="Times New Roman" w:hAnsi="Times New Roman" w:eastAsia="Times New Roman" w:cs="Times New Roman"/>
                <w:kern w:val="0"/>
                <w:szCs w:val="24"/>
                <w:highlight w:val="none"/>
                <w:shd w:fill="FFFFFF" w:val="clear"/>
                <w:lang w:val="pt-BR" w:eastAsia="pt-BR" w:bidi="ar-SA"/>
              </w:rPr>
            </w:pPr>
            <w:r>
              <w:rPr>
                <w:rFonts w:eastAsia="Times New Roman" w:cs="Times New Roman"/>
                <w:kern w:val="0"/>
                <w:sz w:val="22"/>
                <w:szCs w:val="24"/>
                <w:shd w:fill="FFFFFF" w:val="clear"/>
                <w:lang w:val="pt-BR" w:eastAsia="pt-BR" w:bidi="ar-SA"/>
              </w:rPr>
              <w:t>374 – 10.002.08.241.0471.2471.3.3.90.30.00 - MATERIAL DE CONSUMO 04018/01011.09.99.05.18.1.749.0000 - FUNDO MUNICIPAL DOS DIREITOS DO IDOSO – FMDI</w:t>
            </w:r>
          </w:p>
          <w:p>
            <w:pPr>
              <w:pStyle w:val="ListParagraph"/>
              <w:widowControl w:val="false"/>
              <w:numPr>
                <w:ilvl w:val="0"/>
                <w:numId w:val="11"/>
              </w:numPr>
              <w:spacing w:before="0" w:after="0"/>
              <w:contextualSpacing/>
              <w:jc w:val="left"/>
              <w:rPr>
                <w:rFonts w:ascii="Times New Roman" w:hAnsi="Times New Roman" w:eastAsia="Times New Roman" w:cs="Times New Roman"/>
                <w:kern w:val="0"/>
                <w:szCs w:val="24"/>
                <w:highlight w:val="none"/>
                <w:shd w:fill="FFFFFF" w:val="clear"/>
                <w:lang w:val="pt-BR" w:eastAsia="pt-BR" w:bidi="ar-SA"/>
              </w:rPr>
            </w:pPr>
            <w:r>
              <w:rPr>
                <w:rFonts w:eastAsia="Times New Roman" w:cs="Times New Roman"/>
                <w:kern w:val="0"/>
                <w:sz w:val="22"/>
                <w:szCs w:val="24"/>
                <w:shd w:fill="FFFFFF" w:val="clear"/>
                <w:lang w:val="pt-BR" w:eastAsia="pt-BR" w:bidi="ar-SA"/>
              </w:rPr>
              <w:t>382 – 10.002.08.243.0472.6472.3.3.90.3.00 - MATERIAL DE CONSUMO 04023/01011.09.04.05.18.2.661.0000 - FUNDO M S C ADOLESCENTE - ECA/FMDCA – IRRF</w:t>
            </w:r>
          </w:p>
          <w:p>
            <w:pPr>
              <w:pStyle w:val="ListParagraph"/>
              <w:widowControl w:val="false"/>
              <w:numPr>
                <w:ilvl w:val="0"/>
                <w:numId w:val="11"/>
              </w:numPr>
              <w:spacing w:before="0" w:after="0"/>
              <w:contextualSpacing/>
              <w:jc w:val="left"/>
              <w:rPr>
                <w:rFonts w:ascii="Times New Roman" w:hAnsi="Times New Roman" w:eastAsia="Times New Roman" w:cs="Times New Roman"/>
                <w:kern w:val="0"/>
                <w:szCs w:val="24"/>
                <w:highlight w:val="none"/>
                <w:shd w:fill="FFFFFF" w:val="clear"/>
                <w:lang w:val="pt-BR" w:eastAsia="pt-BR" w:bidi="ar-SA"/>
              </w:rPr>
            </w:pPr>
            <w:r>
              <w:rPr>
                <w:rFonts w:eastAsia="Times New Roman" w:cs="Times New Roman"/>
                <w:kern w:val="0"/>
                <w:sz w:val="22"/>
                <w:szCs w:val="24"/>
                <w:shd w:fill="FFFFFF" w:val="clear"/>
                <w:lang w:val="pt-BR" w:eastAsia="pt-BR" w:bidi="ar-SA"/>
              </w:rPr>
              <w:t>403 – 10.002.08.244.0475.2475.3.3.90.30.00 - MATERIAL DE CONSUMO 04005/00941.09.06.06.26.1.660.0000 - BLOCO PROTEÇÃO SOCIAL ESPECIAL DE MEDIA COMPLEXIDADE</w:t>
            </w:r>
          </w:p>
          <w:p>
            <w:pPr>
              <w:pStyle w:val="ListParagraph"/>
              <w:widowControl w:val="false"/>
              <w:numPr>
                <w:ilvl w:val="0"/>
                <w:numId w:val="11"/>
              </w:numPr>
              <w:spacing w:before="0" w:after="0"/>
              <w:contextualSpacing/>
              <w:jc w:val="left"/>
              <w:rPr>
                <w:rFonts w:ascii="Times New Roman" w:hAnsi="Times New Roman" w:eastAsia="Times New Roman" w:cs="Times New Roman"/>
                <w:kern w:val="0"/>
                <w:szCs w:val="24"/>
                <w:highlight w:val="none"/>
                <w:shd w:fill="FFFFFF" w:val="clear"/>
                <w:lang w:val="pt-BR" w:eastAsia="pt-BR" w:bidi="ar-SA"/>
              </w:rPr>
            </w:pPr>
            <w:r>
              <w:rPr>
                <w:rFonts w:eastAsia="Times New Roman" w:cs="Times New Roman"/>
                <w:kern w:val="0"/>
                <w:sz w:val="22"/>
                <w:szCs w:val="24"/>
                <w:shd w:fill="FFFFFF" w:val="clear"/>
                <w:lang w:val="pt-BR" w:eastAsia="pt-BR" w:bidi="ar-SA"/>
              </w:rPr>
              <w:t>422 – 10.002.08.244.0478.2478.3.3.90.30.00 - MATERIAL DE CONSUMO 04000/00940.09.06.06.25.1.660.0000 - BLOCO GESTÃO DO PROGRAMA BOLSA FAMÍLIA E CADASTRO UNICO - PORTARIA 113/2015</w:t>
            </w:r>
          </w:p>
          <w:p>
            <w:pPr>
              <w:pStyle w:val="ListParagraph"/>
              <w:widowControl w:val="false"/>
              <w:numPr>
                <w:ilvl w:val="0"/>
                <w:numId w:val="11"/>
              </w:numPr>
              <w:spacing w:before="0" w:after="0"/>
              <w:contextualSpacing/>
              <w:jc w:val="left"/>
              <w:rPr>
                <w:rFonts w:ascii="Times New Roman" w:hAnsi="Times New Roman" w:eastAsia="Times New Roman" w:cs="Times New Roman"/>
                <w:kern w:val="0"/>
                <w:szCs w:val="24"/>
                <w:highlight w:val="none"/>
                <w:shd w:fill="FFFFFF" w:val="clear"/>
                <w:lang w:val="pt-BR" w:eastAsia="pt-BR" w:bidi="ar-SA"/>
              </w:rPr>
            </w:pPr>
            <w:r>
              <w:rPr>
                <w:rFonts w:eastAsia="Times New Roman" w:cs="Times New Roman"/>
                <w:kern w:val="0"/>
                <w:sz w:val="22"/>
                <w:szCs w:val="24"/>
                <w:shd w:fill="FFFFFF" w:val="clear"/>
                <w:lang w:val="pt-BR" w:eastAsia="pt-BR" w:bidi="ar-SA"/>
              </w:rPr>
              <w:t xml:space="preserve"> </w:t>
            </w:r>
            <w:r>
              <w:rPr>
                <w:rFonts w:eastAsia="Times New Roman" w:cs="Times New Roman"/>
                <w:kern w:val="0"/>
                <w:sz w:val="22"/>
                <w:szCs w:val="24"/>
                <w:shd w:fill="FFFFFF" w:val="clear"/>
                <w:lang w:val="pt-BR" w:eastAsia="pt-BR" w:bidi="ar-SA"/>
              </w:rPr>
              <w:t>429 – 10.003.08.244.0479.2479.3.3.90.30.00 – MATERIAL DE CONSUMO 00000/00000/01.07.00.00.1.500.0000</w:t>
            </w:r>
          </w:p>
          <w:p>
            <w:pPr>
              <w:pStyle w:val="Normal"/>
              <w:widowControl w:val="false"/>
              <w:spacing w:before="0" w:after="0"/>
              <w:jc w:val="left"/>
              <w:rPr>
                <w:sz w:val="22"/>
                <w:szCs w:val="22"/>
              </w:rPr>
            </w:pPr>
            <w:r>
              <w:rPr>
                <w:sz w:val="22"/>
                <w:szCs w:val="22"/>
              </w:rPr>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r>
        <w:trPr/>
        <w:tc>
          <w:tcPr>
            <w:tcW w:w="9383" w:type="dxa"/>
            <w:gridSpan w:val="6"/>
            <w:tcBorders/>
          </w:tcPr>
          <w:p>
            <w:pPr>
              <w:pStyle w:val="Normal"/>
              <w:widowControl w:val="false"/>
              <w:spacing w:before="0" w:after="0"/>
              <w:ind w:hanging="2"/>
              <w:jc w:val="left"/>
              <w:rPr>
                <w:sz w:val="22"/>
                <w:szCs w:val="22"/>
              </w:rPr>
            </w:pPr>
            <w:r>
              <w:rPr>
                <w:rFonts w:eastAsia="Times New Roman" w:cs="Times New Roman"/>
                <w:kern w:val="0"/>
                <w:sz w:val="22"/>
                <w:szCs w:val="22"/>
                <w:lang w:val="pt-BR" w:eastAsia="pt-BR" w:bidi="ar-SA"/>
              </w:rPr>
              <w:t>Em conformidade com as normas constantes dos arts. 16 e 17 da Lei Complementar n° 101, de 04 de maio de 2000 - Lei de Responsabilidade Fiscal, apresente contratação enquadra-se em:</w:t>
            </w:r>
          </w:p>
          <w:tbl>
            <w:tblPr>
              <w:tblStyle w:val="Tabelacomgrade"/>
              <w:tblW w:w="915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819"/>
              <w:gridCol w:w="2014"/>
              <w:gridCol w:w="3326"/>
            </w:tblGrid>
            <w:tr>
              <w:trPr>
                <w:trHeight w:val="278" w:hRule="atLeast"/>
              </w:trPr>
              <w:tc>
                <w:tcPr>
                  <w:tcW w:w="3819" w:type="dxa"/>
                  <w:tcBorders>
                    <w:top w:val="nil"/>
                    <w:left w:val="nil"/>
                    <w:bottom w:val="nil"/>
                    <w:right w:val="nil"/>
                  </w:tcBorders>
                </w:tcPr>
                <w:p>
                  <w:pPr>
                    <w:pStyle w:val="Normal"/>
                    <w:widowControl w:val="false"/>
                    <w:spacing w:before="0" w:after="0"/>
                    <w:ind w:hanging="2"/>
                    <w:jc w:val="left"/>
                    <w:rPr>
                      <w:sz w:val="22"/>
                      <w:szCs w:val="22"/>
                    </w:rPr>
                  </w:pPr>
                  <w:r>
                    <w:rPr>
                      <w:rFonts w:eastAsia="Times New Roman" w:cs="Times New Roman"/>
                      <w:kern w:val="0"/>
                      <w:sz w:val="22"/>
                      <w:szCs w:val="22"/>
                      <w:lang w:val="pt-BR" w:eastAsia="pt-BR" w:bidi="ar-SA"/>
                    </w:rPr>
                    <w:t>Criação ação de governo</w:t>
                  </w:r>
                </w:p>
              </w:tc>
              <w:tc>
                <w:tcPr>
                  <w:tcW w:w="2014" w:type="dxa"/>
                  <w:tcBorders>
                    <w:top w:val="nil"/>
                    <w:left w:val="nil"/>
                    <w:bottom w:val="nil"/>
                    <w:right w:val="nil"/>
                  </w:tcBorders>
                </w:tcPr>
                <w:p>
                  <w:pPr>
                    <w:pStyle w:val="Normal"/>
                    <w:widowControl w:val="false"/>
                    <w:spacing w:before="0" w:after="0"/>
                    <w:ind w:hanging="2"/>
                    <w:jc w:val="left"/>
                    <w:rPr>
                      <w:sz w:val="22"/>
                      <w:szCs w:val="22"/>
                    </w:rPr>
                  </w:pPr>
                  <w:r>
                    <w:rPr>
                      <w:rFonts w:eastAsia="Times New Roman" w:cs="Times New Roman"/>
                      <w:kern w:val="0"/>
                      <w:sz w:val="22"/>
                      <w:szCs w:val="22"/>
                      <w:lang w:val="pt-BR" w:eastAsia="pt-BR" w:bidi="ar-SA"/>
                    </w:rPr>
                    <w:t>(   ) Sim</w:t>
                  </w:r>
                </w:p>
              </w:tc>
              <w:tc>
                <w:tcPr>
                  <w:tcW w:w="3326" w:type="dxa"/>
                  <w:tcBorders>
                    <w:top w:val="nil"/>
                    <w:left w:val="nil"/>
                    <w:bottom w:val="nil"/>
                    <w:right w:val="nil"/>
                  </w:tcBorders>
                </w:tcPr>
                <w:p>
                  <w:pPr>
                    <w:pStyle w:val="Normal"/>
                    <w:widowControl w:val="false"/>
                    <w:spacing w:before="0" w:after="0"/>
                    <w:ind w:hanging="2"/>
                    <w:jc w:val="left"/>
                    <w:rPr>
                      <w:color w:val="000000" w:themeColor="text1"/>
                      <w:sz w:val="22"/>
                      <w:szCs w:val="22"/>
                    </w:rPr>
                  </w:pPr>
                  <w:r>
                    <w:rPr>
                      <w:rFonts w:eastAsia="Times New Roman" w:cs="Times New Roman"/>
                      <w:color w:val="000000" w:themeColor="text1"/>
                      <w:kern w:val="0"/>
                      <w:sz w:val="22"/>
                      <w:szCs w:val="22"/>
                      <w:lang w:val="pt-BR" w:eastAsia="pt-BR" w:bidi="ar-SA"/>
                    </w:rPr>
                    <w:t>( x) Não</w:t>
                  </w:r>
                </w:p>
              </w:tc>
            </w:tr>
            <w:tr>
              <w:trPr>
                <w:trHeight w:val="281" w:hRule="atLeast"/>
              </w:trPr>
              <w:tc>
                <w:tcPr>
                  <w:tcW w:w="3819" w:type="dxa"/>
                  <w:tcBorders>
                    <w:top w:val="nil"/>
                    <w:left w:val="nil"/>
                    <w:bottom w:val="nil"/>
                    <w:right w:val="nil"/>
                  </w:tcBorders>
                </w:tcPr>
                <w:p>
                  <w:pPr>
                    <w:pStyle w:val="Normal"/>
                    <w:widowControl w:val="false"/>
                    <w:spacing w:before="0" w:after="0"/>
                    <w:ind w:hanging="2"/>
                    <w:jc w:val="left"/>
                    <w:rPr>
                      <w:sz w:val="22"/>
                      <w:szCs w:val="22"/>
                    </w:rPr>
                  </w:pPr>
                  <w:r>
                    <w:rPr>
                      <w:rFonts w:eastAsia="Times New Roman" w:cs="Times New Roman"/>
                      <w:kern w:val="0"/>
                      <w:sz w:val="22"/>
                      <w:szCs w:val="22"/>
                      <w:lang w:val="pt-BR" w:eastAsia="pt-BR" w:bidi="ar-SA"/>
                    </w:rPr>
                    <w:t>Expansão ação de governo</w:t>
                  </w:r>
                </w:p>
              </w:tc>
              <w:tc>
                <w:tcPr>
                  <w:tcW w:w="2014" w:type="dxa"/>
                  <w:tcBorders>
                    <w:top w:val="nil"/>
                    <w:left w:val="nil"/>
                    <w:bottom w:val="nil"/>
                    <w:right w:val="nil"/>
                  </w:tcBorders>
                </w:tcPr>
                <w:p>
                  <w:pPr>
                    <w:pStyle w:val="Normal"/>
                    <w:widowControl w:val="false"/>
                    <w:spacing w:before="0" w:after="0"/>
                    <w:ind w:hanging="2"/>
                    <w:jc w:val="left"/>
                    <w:rPr>
                      <w:sz w:val="22"/>
                      <w:szCs w:val="22"/>
                    </w:rPr>
                  </w:pPr>
                  <w:r>
                    <w:rPr>
                      <w:rFonts w:eastAsia="Times New Roman" w:cs="Times New Roman"/>
                      <w:kern w:val="0"/>
                      <w:sz w:val="22"/>
                      <w:szCs w:val="22"/>
                      <w:lang w:val="pt-BR" w:eastAsia="pt-BR" w:bidi="ar-SA"/>
                    </w:rPr>
                    <w:t>(   ) Sim</w:t>
                  </w:r>
                </w:p>
              </w:tc>
              <w:tc>
                <w:tcPr>
                  <w:tcW w:w="3326" w:type="dxa"/>
                  <w:tcBorders>
                    <w:top w:val="nil"/>
                    <w:left w:val="nil"/>
                    <w:bottom w:val="nil"/>
                    <w:right w:val="nil"/>
                  </w:tcBorders>
                </w:tcPr>
                <w:p>
                  <w:pPr>
                    <w:pStyle w:val="Normal"/>
                    <w:widowControl w:val="false"/>
                    <w:spacing w:before="0" w:after="0"/>
                    <w:ind w:hanging="2"/>
                    <w:jc w:val="left"/>
                    <w:rPr>
                      <w:color w:val="000000" w:themeColor="text1"/>
                      <w:sz w:val="22"/>
                      <w:szCs w:val="22"/>
                    </w:rPr>
                  </w:pPr>
                  <w:r>
                    <w:rPr>
                      <w:rFonts w:eastAsia="Times New Roman" w:cs="Times New Roman"/>
                      <w:color w:val="000000" w:themeColor="text1"/>
                      <w:kern w:val="0"/>
                      <w:sz w:val="22"/>
                      <w:szCs w:val="22"/>
                      <w:lang w:val="pt-BR" w:eastAsia="pt-BR" w:bidi="ar-SA"/>
                    </w:rPr>
                    <w:t>( x) Não</w:t>
                  </w:r>
                </w:p>
              </w:tc>
            </w:tr>
            <w:tr>
              <w:trPr>
                <w:trHeight w:val="286" w:hRule="atLeast"/>
              </w:trPr>
              <w:tc>
                <w:tcPr>
                  <w:tcW w:w="3819" w:type="dxa"/>
                  <w:tcBorders>
                    <w:top w:val="nil"/>
                    <w:left w:val="nil"/>
                    <w:bottom w:val="nil"/>
                    <w:right w:val="nil"/>
                  </w:tcBorders>
                </w:tcPr>
                <w:p>
                  <w:pPr>
                    <w:pStyle w:val="Normal"/>
                    <w:widowControl w:val="false"/>
                    <w:spacing w:before="0" w:after="0"/>
                    <w:ind w:hanging="2"/>
                    <w:jc w:val="left"/>
                    <w:rPr>
                      <w:sz w:val="22"/>
                      <w:szCs w:val="22"/>
                    </w:rPr>
                  </w:pPr>
                  <w:r>
                    <w:rPr>
                      <w:rFonts w:eastAsia="Times New Roman" w:cs="Times New Roman"/>
                      <w:kern w:val="0"/>
                      <w:sz w:val="22"/>
                      <w:szCs w:val="22"/>
                      <w:lang w:val="pt-BR" w:eastAsia="pt-BR" w:bidi="ar-SA"/>
                    </w:rPr>
                    <w:t>Aperfeiçoamento ação de governo</w:t>
                  </w:r>
                </w:p>
              </w:tc>
              <w:tc>
                <w:tcPr>
                  <w:tcW w:w="2014" w:type="dxa"/>
                  <w:tcBorders>
                    <w:top w:val="nil"/>
                    <w:left w:val="nil"/>
                    <w:bottom w:val="nil"/>
                    <w:right w:val="nil"/>
                  </w:tcBorders>
                </w:tcPr>
                <w:p>
                  <w:pPr>
                    <w:pStyle w:val="Normal"/>
                    <w:widowControl w:val="false"/>
                    <w:spacing w:before="0" w:after="0"/>
                    <w:ind w:hanging="2"/>
                    <w:jc w:val="left"/>
                    <w:rPr>
                      <w:sz w:val="22"/>
                      <w:szCs w:val="22"/>
                    </w:rPr>
                  </w:pPr>
                  <w:r>
                    <w:rPr>
                      <w:rFonts w:eastAsia="Times New Roman" w:cs="Times New Roman"/>
                      <w:kern w:val="0"/>
                      <w:sz w:val="22"/>
                      <w:szCs w:val="22"/>
                      <w:lang w:val="pt-BR" w:eastAsia="pt-BR" w:bidi="ar-SA"/>
                    </w:rPr>
                    <w:t>(   ) Sim</w:t>
                  </w:r>
                </w:p>
              </w:tc>
              <w:tc>
                <w:tcPr>
                  <w:tcW w:w="3326" w:type="dxa"/>
                  <w:tcBorders>
                    <w:top w:val="nil"/>
                    <w:left w:val="nil"/>
                    <w:bottom w:val="nil"/>
                    <w:right w:val="nil"/>
                  </w:tcBorders>
                </w:tcPr>
                <w:p>
                  <w:pPr>
                    <w:pStyle w:val="Normal"/>
                    <w:widowControl w:val="false"/>
                    <w:spacing w:before="0" w:after="0"/>
                    <w:ind w:hanging="2"/>
                    <w:jc w:val="left"/>
                    <w:rPr>
                      <w:color w:val="000000" w:themeColor="text1"/>
                      <w:sz w:val="22"/>
                      <w:szCs w:val="22"/>
                    </w:rPr>
                  </w:pPr>
                  <w:r>
                    <w:rPr>
                      <w:rFonts w:eastAsia="Times New Roman" w:cs="Times New Roman"/>
                      <w:color w:val="000000" w:themeColor="text1"/>
                      <w:kern w:val="0"/>
                      <w:sz w:val="22"/>
                      <w:szCs w:val="22"/>
                      <w:lang w:val="pt-BR" w:eastAsia="pt-BR" w:bidi="ar-SA"/>
                    </w:rPr>
                    <w:t>( x) Não</w:t>
                  </w:r>
                </w:p>
              </w:tc>
            </w:tr>
          </w:tbl>
          <w:p>
            <w:pPr>
              <w:pStyle w:val="Normal"/>
              <w:widowControl w:val="false"/>
              <w:spacing w:before="0" w:after="0"/>
              <w:ind w:hanging="2"/>
              <w:jc w:val="left"/>
              <w:rPr>
                <w:sz w:val="22"/>
                <w:szCs w:val="22"/>
              </w:rPr>
            </w:pPr>
            <w:r>
              <w:rPr>
                <w:sz w:val="22"/>
                <w:szCs w:val="22"/>
              </w:rPr>
            </w:r>
          </w:p>
        </w:tc>
        <w:tc>
          <w:tcPr>
            <w:tcW w:w="4390" w:type="dxa"/>
            <w:tcBorders>
              <w:top w:val="nil"/>
              <w:left w:val="nil"/>
              <w:bottom w:val="nil"/>
              <w:right w:val="nil"/>
            </w:tcBorders>
          </w:tcPr>
          <w:p>
            <w:pPr>
              <w:pStyle w:val="Normal"/>
              <w:widowControl w:val="false"/>
              <w:spacing w:before="0" w:after="0"/>
              <w:jc w:val="left"/>
              <w:rPr>
                <w:rFonts w:ascii="Times New Roman" w:hAnsi="Times New Roman" w:eastAsia="Times New Roman" w:cs="Times New Roman"/>
                <w:kern w:val="0"/>
                <w:sz w:val="24"/>
                <w:szCs w:val="24"/>
                <w:lang w:val="pt-BR" w:eastAsia="pt-BR" w:bidi="ar-SA"/>
              </w:rPr>
            </w:pPr>
            <w:r>
              <w:rPr>
                <w:rFonts w:eastAsia="Times New Roman" w:cs="Times New Roman"/>
                <w:kern w:val="0"/>
                <w:sz w:val="24"/>
                <w:szCs w:val="24"/>
                <w:lang w:val="pt-BR" w:eastAsia="pt-BR" w:bidi="ar-SA"/>
              </w:rPr>
            </w:r>
          </w:p>
        </w:tc>
      </w:tr>
    </w:tbl>
    <w:p>
      <w:pPr>
        <w:pStyle w:val="Normal"/>
        <w:ind w:right="-2" w:hanging="0"/>
        <w:jc w:val="both"/>
        <w:rPr>
          <w:sz w:val="22"/>
          <w:szCs w:val="22"/>
        </w:rPr>
      </w:pPr>
      <w:r>
        <w:rPr>
          <w:sz w:val="22"/>
          <w:szCs w:val="22"/>
        </w:rPr>
      </w:r>
    </w:p>
    <w:tbl>
      <w:tblPr>
        <w:tblStyle w:val="Tabelacomgrade"/>
        <w:tblW w:w="9381" w:type="dxa"/>
        <w:jc w:val="left"/>
        <w:tblInd w:w="103" w:type="dxa"/>
        <w:tblLayout w:type="fixed"/>
        <w:tblCellMar>
          <w:top w:w="0" w:type="dxa"/>
          <w:left w:w="108" w:type="dxa"/>
          <w:bottom w:w="0" w:type="dxa"/>
          <w:right w:w="108" w:type="dxa"/>
        </w:tblCellMar>
        <w:tblLook w:firstRow="1" w:noVBand="1" w:lastRow="0" w:firstColumn="1" w:lastColumn="0" w:noHBand="0" w:val="04a0"/>
      </w:tblPr>
      <w:tblGrid>
        <w:gridCol w:w="4283"/>
        <w:gridCol w:w="287"/>
        <w:gridCol w:w="2034"/>
        <w:gridCol w:w="337"/>
        <w:gridCol w:w="2440"/>
      </w:tblGrid>
      <w:tr>
        <w:trPr/>
        <w:tc>
          <w:tcPr>
            <w:tcW w:w="9381" w:type="dxa"/>
            <w:gridSpan w:val="5"/>
            <w:tcBorders>
              <w:top w:val="nil"/>
              <w:left w:val="nil"/>
              <w:bottom w:val="nil"/>
              <w:right w:val="nil"/>
            </w:tcBorders>
          </w:tcPr>
          <w:p>
            <w:pPr>
              <w:pStyle w:val="Normal"/>
              <w:widowControl w:val="false"/>
              <w:spacing w:before="0" w:after="0"/>
              <w:ind w:left="-108" w:right="-2" w:hanging="0"/>
              <w:jc w:val="both"/>
              <w:rPr>
                <w:sz w:val="22"/>
                <w:szCs w:val="22"/>
              </w:rPr>
            </w:pPr>
            <w:r>
              <w:rPr>
                <w:rFonts w:eastAsia="Times New Roman" w:cs="Times New Roman"/>
                <w:b/>
                <w:bCs/>
                <w:kern w:val="0"/>
                <w:sz w:val="22"/>
                <w:szCs w:val="22"/>
                <w:lang w:val="pt-BR" w:eastAsia="pt-BR" w:bidi="ar-SA"/>
              </w:rPr>
              <w:t>2.3. ENQUADRAMENTO DA CONTRATAÇÃO:</w:t>
            </w:r>
          </w:p>
          <w:p>
            <w:pPr>
              <w:pStyle w:val="Normal"/>
              <w:widowControl w:val="false"/>
              <w:spacing w:before="0" w:after="0"/>
              <w:ind w:left="-108" w:right="-2" w:hanging="0"/>
              <w:jc w:val="both"/>
              <w:rPr>
                <w:sz w:val="22"/>
                <w:szCs w:val="22"/>
              </w:rPr>
            </w:pPr>
            <w:r>
              <w:rPr>
                <w:rFonts w:eastAsia="Times New Roman" w:cs="Times New Roman"/>
                <w:kern w:val="0"/>
                <w:sz w:val="22"/>
                <w:szCs w:val="22"/>
                <w:lang w:val="pt-BR" w:eastAsia="pt-BR" w:bidi="ar-SA"/>
              </w:rPr>
              <w:t>Em conformidade com as normas constantes dos Arts. 16 e 17 da Lei Complementar n° 101, de 04 de maio de 2000 - Lei de Responsabilidade Fiscal, a presente contratação enquadra-se em:</w:t>
            </w:r>
          </w:p>
        </w:tc>
      </w:tr>
      <w:tr>
        <w:trPr/>
        <w:tc>
          <w:tcPr>
            <w:tcW w:w="4283" w:type="dxa"/>
            <w:tcBorders>
              <w:top w:val="nil"/>
              <w:left w:val="nil"/>
              <w:bottom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Criação ação de governo</w:t>
            </w:r>
          </w:p>
        </w:tc>
        <w:tc>
          <w:tcPr>
            <w:tcW w:w="287" w:type="dxa"/>
            <w:tcBorders/>
          </w:tcPr>
          <w:p>
            <w:pPr>
              <w:pStyle w:val="Normal"/>
              <w:widowControl w:val="false"/>
              <w:spacing w:before="0" w:after="0"/>
              <w:ind w:right="-2" w:hanging="0"/>
              <w:jc w:val="both"/>
              <w:rPr>
                <w:b/>
                <w:bCs/>
                <w:sz w:val="22"/>
                <w:szCs w:val="22"/>
              </w:rPr>
            </w:pPr>
            <w:r>
              <w:rPr>
                <w:b/>
                <w:bCs/>
                <w:sz w:val="22"/>
                <w:szCs w:val="22"/>
              </w:rPr>
            </w:r>
          </w:p>
        </w:tc>
        <w:tc>
          <w:tcPr>
            <w:tcW w:w="2034" w:type="dxa"/>
            <w:tcBorders>
              <w:top w:val="nil"/>
              <w:bottom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Sim</w:t>
            </w:r>
          </w:p>
        </w:tc>
        <w:tc>
          <w:tcPr>
            <w:tcW w:w="337" w:type="dxa"/>
            <w:tcBorders/>
          </w:tcPr>
          <w:p>
            <w:pPr>
              <w:pStyle w:val="Normal"/>
              <w:widowControl w:val="false"/>
              <w:spacing w:before="0" w:after="0"/>
              <w:ind w:right="-2" w:hanging="0"/>
              <w:jc w:val="both"/>
              <w:rPr>
                <w:b/>
                <w:bCs/>
                <w:color w:val="FF0000"/>
                <w:sz w:val="22"/>
                <w:szCs w:val="22"/>
              </w:rPr>
            </w:pPr>
            <w:r>
              <w:rPr>
                <w:rFonts w:eastAsia="Times New Roman" w:cs="Times New Roman"/>
                <w:b/>
                <w:bCs/>
                <w:color w:val="FF0000"/>
                <w:kern w:val="0"/>
                <w:sz w:val="22"/>
                <w:szCs w:val="22"/>
                <w:lang w:val="pt-BR" w:eastAsia="pt-BR" w:bidi="ar-SA"/>
              </w:rPr>
              <w:t>x</w:t>
            </w:r>
          </w:p>
        </w:tc>
        <w:tc>
          <w:tcPr>
            <w:tcW w:w="2440" w:type="dxa"/>
            <w:tcBorders>
              <w:top w:val="nil"/>
              <w:bottom w:val="nil"/>
              <w:right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Não</w:t>
            </w:r>
          </w:p>
        </w:tc>
      </w:tr>
      <w:tr>
        <w:trPr/>
        <w:tc>
          <w:tcPr>
            <w:tcW w:w="4283" w:type="dxa"/>
            <w:tcBorders>
              <w:top w:val="nil"/>
              <w:left w:val="nil"/>
              <w:bottom w:val="nil"/>
              <w:right w:val="nil"/>
            </w:tcBorders>
          </w:tcPr>
          <w:p>
            <w:pPr>
              <w:pStyle w:val="Normal"/>
              <w:widowControl w:val="false"/>
              <w:spacing w:before="0" w:after="0"/>
              <w:ind w:right="-2" w:hanging="0"/>
              <w:jc w:val="both"/>
              <w:rPr>
                <w:sz w:val="22"/>
                <w:szCs w:val="22"/>
              </w:rPr>
            </w:pPr>
            <w:r>
              <w:rPr>
                <w:sz w:val="22"/>
                <w:szCs w:val="22"/>
              </w:rPr>
            </w:r>
          </w:p>
        </w:tc>
        <w:tc>
          <w:tcPr>
            <w:tcW w:w="287" w:type="dxa"/>
            <w:tcBorders>
              <w:left w:val="nil"/>
              <w:right w:val="nil"/>
            </w:tcBorders>
          </w:tcPr>
          <w:p>
            <w:pPr>
              <w:pStyle w:val="Normal"/>
              <w:widowControl w:val="false"/>
              <w:spacing w:before="0" w:after="0"/>
              <w:ind w:right="-2" w:hanging="0"/>
              <w:jc w:val="both"/>
              <w:rPr>
                <w:b/>
                <w:bCs/>
                <w:sz w:val="22"/>
                <w:szCs w:val="22"/>
              </w:rPr>
            </w:pPr>
            <w:r>
              <w:rPr>
                <w:b/>
                <w:bCs/>
                <w:sz w:val="22"/>
                <w:szCs w:val="22"/>
              </w:rPr>
            </w:r>
          </w:p>
        </w:tc>
        <w:tc>
          <w:tcPr>
            <w:tcW w:w="2034" w:type="dxa"/>
            <w:tcBorders>
              <w:top w:val="nil"/>
              <w:left w:val="nil"/>
              <w:bottom w:val="nil"/>
              <w:right w:val="nil"/>
            </w:tcBorders>
          </w:tcPr>
          <w:p>
            <w:pPr>
              <w:pStyle w:val="Normal"/>
              <w:widowControl w:val="false"/>
              <w:spacing w:before="0" w:after="0"/>
              <w:ind w:right="-2" w:hanging="0"/>
              <w:jc w:val="both"/>
              <w:rPr>
                <w:sz w:val="22"/>
                <w:szCs w:val="22"/>
              </w:rPr>
            </w:pPr>
            <w:r>
              <w:rPr>
                <w:sz w:val="22"/>
                <w:szCs w:val="22"/>
              </w:rPr>
            </w:r>
          </w:p>
        </w:tc>
        <w:tc>
          <w:tcPr>
            <w:tcW w:w="337" w:type="dxa"/>
            <w:tcBorders>
              <w:left w:val="nil"/>
              <w:right w:val="nil"/>
            </w:tcBorders>
          </w:tcPr>
          <w:p>
            <w:pPr>
              <w:pStyle w:val="Normal"/>
              <w:widowControl w:val="false"/>
              <w:spacing w:before="0" w:after="0"/>
              <w:ind w:right="-2" w:hanging="0"/>
              <w:jc w:val="both"/>
              <w:rPr>
                <w:b/>
                <w:bCs/>
                <w:color w:val="FF0000"/>
                <w:sz w:val="22"/>
                <w:szCs w:val="22"/>
              </w:rPr>
            </w:pPr>
            <w:r>
              <w:rPr>
                <w:b/>
                <w:bCs/>
                <w:color w:val="FF0000"/>
                <w:sz w:val="22"/>
                <w:szCs w:val="22"/>
              </w:rPr>
            </w:r>
          </w:p>
        </w:tc>
        <w:tc>
          <w:tcPr>
            <w:tcW w:w="2440" w:type="dxa"/>
            <w:tcBorders>
              <w:top w:val="nil"/>
              <w:left w:val="nil"/>
              <w:bottom w:val="nil"/>
              <w:right w:val="nil"/>
            </w:tcBorders>
          </w:tcPr>
          <w:p>
            <w:pPr>
              <w:pStyle w:val="Normal"/>
              <w:widowControl w:val="false"/>
              <w:spacing w:before="0" w:after="0"/>
              <w:ind w:right="-2" w:hanging="0"/>
              <w:jc w:val="both"/>
              <w:rPr>
                <w:sz w:val="22"/>
                <w:szCs w:val="22"/>
              </w:rPr>
            </w:pPr>
            <w:r>
              <w:rPr>
                <w:sz w:val="22"/>
                <w:szCs w:val="22"/>
              </w:rPr>
            </w:r>
          </w:p>
        </w:tc>
      </w:tr>
      <w:tr>
        <w:trPr/>
        <w:tc>
          <w:tcPr>
            <w:tcW w:w="4283" w:type="dxa"/>
            <w:tcBorders>
              <w:top w:val="nil"/>
              <w:left w:val="nil"/>
              <w:bottom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Expansão ação de governo</w:t>
            </w:r>
          </w:p>
        </w:tc>
        <w:tc>
          <w:tcPr>
            <w:tcW w:w="287" w:type="dxa"/>
            <w:tcBorders/>
          </w:tcPr>
          <w:p>
            <w:pPr>
              <w:pStyle w:val="Normal"/>
              <w:widowControl w:val="false"/>
              <w:spacing w:before="0" w:after="0"/>
              <w:ind w:right="-2" w:hanging="0"/>
              <w:jc w:val="both"/>
              <w:rPr>
                <w:b/>
                <w:bCs/>
                <w:sz w:val="22"/>
                <w:szCs w:val="22"/>
              </w:rPr>
            </w:pPr>
            <w:r>
              <w:rPr>
                <w:b/>
                <w:bCs/>
                <w:sz w:val="22"/>
                <w:szCs w:val="22"/>
              </w:rPr>
            </w:r>
          </w:p>
        </w:tc>
        <w:tc>
          <w:tcPr>
            <w:tcW w:w="2034" w:type="dxa"/>
            <w:tcBorders>
              <w:top w:val="nil"/>
              <w:bottom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Sim</w:t>
            </w:r>
          </w:p>
        </w:tc>
        <w:tc>
          <w:tcPr>
            <w:tcW w:w="337" w:type="dxa"/>
            <w:tcBorders/>
          </w:tcPr>
          <w:p>
            <w:pPr>
              <w:pStyle w:val="Normal"/>
              <w:widowControl w:val="false"/>
              <w:spacing w:before="0" w:after="0"/>
              <w:ind w:right="-2" w:hanging="0"/>
              <w:jc w:val="both"/>
              <w:rPr>
                <w:b/>
                <w:bCs/>
                <w:color w:val="FF0000"/>
                <w:sz w:val="22"/>
                <w:szCs w:val="22"/>
              </w:rPr>
            </w:pPr>
            <w:r>
              <w:rPr>
                <w:rFonts w:eastAsia="Times New Roman" w:cs="Times New Roman"/>
                <w:b/>
                <w:bCs/>
                <w:color w:val="FF0000"/>
                <w:kern w:val="0"/>
                <w:sz w:val="22"/>
                <w:szCs w:val="22"/>
                <w:lang w:val="pt-BR" w:eastAsia="pt-BR" w:bidi="ar-SA"/>
              </w:rPr>
              <w:t>x</w:t>
            </w:r>
          </w:p>
        </w:tc>
        <w:tc>
          <w:tcPr>
            <w:tcW w:w="2440" w:type="dxa"/>
            <w:tcBorders>
              <w:top w:val="nil"/>
              <w:bottom w:val="nil"/>
              <w:right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Não</w:t>
            </w:r>
          </w:p>
        </w:tc>
      </w:tr>
      <w:tr>
        <w:trPr/>
        <w:tc>
          <w:tcPr>
            <w:tcW w:w="4283" w:type="dxa"/>
            <w:tcBorders>
              <w:top w:val="nil"/>
              <w:left w:val="nil"/>
              <w:bottom w:val="nil"/>
              <w:right w:val="nil"/>
            </w:tcBorders>
          </w:tcPr>
          <w:p>
            <w:pPr>
              <w:pStyle w:val="Normal"/>
              <w:widowControl w:val="false"/>
              <w:spacing w:before="0" w:after="0"/>
              <w:ind w:right="-2" w:hanging="0"/>
              <w:jc w:val="both"/>
              <w:rPr>
                <w:sz w:val="22"/>
                <w:szCs w:val="22"/>
              </w:rPr>
            </w:pPr>
            <w:r>
              <w:rPr>
                <w:sz w:val="22"/>
                <w:szCs w:val="22"/>
              </w:rPr>
            </w:r>
          </w:p>
        </w:tc>
        <w:tc>
          <w:tcPr>
            <w:tcW w:w="287" w:type="dxa"/>
            <w:tcBorders>
              <w:left w:val="nil"/>
              <w:right w:val="nil"/>
            </w:tcBorders>
          </w:tcPr>
          <w:p>
            <w:pPr>
              <w:pStyle w:val="Normal"/>
              <w:widowControl w:val="false"/>
              <w:spacing w:before="0" w:after="0"/>
              <w:ind w:right="-2" w:hanging="0"/>
              <w:jc w:val="both"/>
              <w:rPr>
                <w:b/>
                <w:bCs/>
                <w:sz w:val="22"/>
                <w:szCs w:val="22"/>
              </w:rPr>
            </w:pPr>
            <w:r>
              <w:rPr>
                <w:b/>
                <w:bCs/>
                <w:sz w:val="22"/>
                <w:szCs w:val="22"/>
              </w:rPr>
            </w:r>
          </w:p>
        </w:tc>
        <w:tc>
          <w:tcPr>
            <w:tcW w:w="2034" w:type="dxa"/>
            <w:tcBorders>
              <w:top w:val="nil"/>
              <w:left w:val="nil"/>
              <w:bottom w:val="nil"/>
              <w:right w:val="nil"/>
            </w:tcBorders>
          </w:tcPr>
          <w:p>
            <w:pPr>
              <w:pStyle w:val="Normal"/>
              <w:widowControl w:val="false"/>
              <w:spacing w:before="0" w:after="0"/>
              <w:ind w:right="-2" w:hanging="0"/>
              <w:jc w:val="both"/>
              <w:rPr>
                <w:sz w:val="22"/>
                <w:szCs w:val="22"/>
              </w:rPr>
            </w:pPr>
            <w:r>
              <w:rPr>
                <w:sz w:val="22"/>
                <w:szCs w:val="22"/>
              </w:rPr>
            </w:r>
          </w:p>
        </w:tc>
        <w:tc>
          <w:tcPr>
            <w:tcW w:w="337" w:type="dxa"/>
            <w:tcBorders>
              <w:left w:val="nil"/>
              <w:right w:val="nil"/>
            </w:tcBorders>
          </w:tcPr>
          <w:p>
            <w:pPr>
              <w:pStyle w:val="Normal"/>
              <w:widowControl w:val="false"/>
              <w:spacing w:before="0" w:after="0"/>
              <w:ind w:right="-2" w:hanging="0"/>
              <w:jc w:val="both"/>
              <w:rPr>
                <w:b/>
                <w:bCs/>
                <w:color w:val="FF0000"/>
                <w:sz w:val="22"/>
                <w:szCs w:val="22"/>
              </w:rPr>
            </w:pPr>
            <w:r>
              <w:rPr>
                <w:b/>
                <w:bCs/>
                <w:color w:val="FF0000"/>
                <w:sz w:val="22"/>
                <w:szCs w:val="22"/>
              </w:rPr>
            </w:r>
          </w:p>
        </w:tc>
        <w:tc>
          <w:tcPr>
            <w:tcW w:w="2440" w:type="dxa"/>
            <w:tcBorders>
              <w:top w:val="nil"/>
              <w:left w:val="nil"/>
              <w:bottom w:val="nil"/>
              <w:right w:val="nil"/>
            </w:tcBorders>
          </w:tcPr>
          <w:p>
            <w:pPr>
              <w:pStyle w:val="Normal"/>
              <w:widowControl w:val="false"/>
              <w:spacing w:before="0" w:after="0"/>
              <w:ind w:right="-2" w:hanging="0"/>
              <w:jc w:val="both"/>
              <w:rPr>
                <w:sz w:val="22"/>
                <w:szCs w:val="22"/>
              </w:rPr>
            </w:pPr>
            <w:r>
              <w:rPr>
                <w:sz w:val="22"/>
                <w:szCs w:val="22"/>
              </w:rPr>
            </w:r>
          </w:p>
        </w:tc>
      </w:tr>
      <w:tr>
        <w:trPr/>
        <w:tc>
          <w:tcPr>
            <w:tcW w:w="4283" w:type="dxa"/>
            <w:tcBorders>
              <w:top w:val="nil"/>
              <w:left w:val="nil"/>
              <w:bottom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Aperfeiçoamento ação de governo</w:t>
            </w:r>
          </w:p>
        </w:tc>
        <w:tc>
          <w:tcPr>
            <w:tcW w:w="287" w:type="dxa"/>
            <w:tcBorders/>
          </w:tcPr>
          <w:p>
            <w:pPr>
              <w:pStyle w:val="Normal"/>
              <w:widowControl w:val="false"/>
              <w:spacing w:before="0" w:after="0"/>
              <w:ind w:right="-2" w:hanging="0"/>
              <w:jc w:val="both"/>
              <w:rPr>
                <w:b/>
                <w:bCs/>
                <w:sz w:val="22"/>
                <w:szCs w:val="22"/>
              </w:rPr>
            </w:pPr>
            <w:r>
              <w:rPr>
                <w:b/>
                <w:bCs/>
                <w:sz w:val="22"/>
                <w:szCs w:val="22"/>
              </w:rPr>
            </w:r>
          </w:p>
        </w:tc>
        <w:tc>
          <w:tcPr>
            <w:tcW w:w="2034" w:type="dxa"/>
            <w:tcBorders>
              <w:top w:val="nil"/>
              <w:bottom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Sim</w:t>
            </w:r>
          </w:p>
        </w:tc>
        <w:tc>
          <w:tcPr>
            <w:tcW w:w="337" w:type="dxa"/>
            <w:tcBorders/>
          </w:tcPr>
          <w:p>
            <w:pPr>
              <w:pStyle w:val="Normal"/>
              <w:widowControl w:val="false"/>
              <w:spacing w:before="0" w:after="0"/>
              <w:ind w:right="-2" w:hanging="0"/>
              <w:jc w:val="both"/>
              <w:rPr>
                <w:b/>
                <w:bCs/>
                <w:color w:val="FF0000"/>
                <w:sz w:val="22"/>
                <w:szCs w:val="22"/>
              </w:rPr>
            </w:pPr>
            <w:r>
              <w:rPr>
                <w:rFonts w:eastAsia="Times New Roman" w:cs="Times New Roman"/>
                <w:b/>
                <w:bCs/>
                <w:color w:val="FF0000"/>
                <w:kern w:val="0"/>
                <w:sz w:val="22"/>
                <w:szCs w:val="22"/>
                <w:lang w:val="pt-BR" w:eastAsia="pt-BR" w:bidi="ar-SA"/>
              </w:rPr>
              <w:t>x</w:t>
            </w:r>
          </w:p>
        </w:tc>
        <w:tc>
          <w:tcPr>
            <w:tcW w:w="2440" w:type="dxa"/>
            <w:tcBorders>
              <w:top w:val="nil"/>
              <w:bottom w:val="nil"/>
              <w:right w:val="nil"/>
            </w:tcBorders>
          </w:tcPr>
          <w:p>
            <w:pPr>
              <w:pStyle w:val="Normal"/>
              <w:widowControl w:val="false"/>
              <w:spacing w:before="0" w:after="0"/>
              <w:ind w:right="-2" w:hanging="0"/>
              <w:jc w:val="both"/>
              <w:rPr>
                <w:sz w:val="22"/>
                <w:szCs w:val="22"/>
              </w:rPr>
            </w:pPr>
            <w:r>
              <w:rPr>
                <w:rFonts w:eastAsia="Times New Roman" w:cs="Times New Roman"/>
                <w:kern w:val="0"/>
                <w:sz w:val="22"/>
                <w:szCs w:val="22"/>
                <w:lang w:val="pt-BR" w:eastAsia="pt-BR" w:bidi="ar-SA"/>
              </w:rPr>
              <w:t>Não</w:t>
            </w:r>
          </w:p>
        </w:tc>
      </w:tr>
    </w:tbl>
    <w:p>
      <w:pPr>
        <w:pStyle w:val="Normal"/>
        <w:ind w:right="-2" w:hanging="0"/>
        <w:jc w:val="both"/>
        <w:rPr>
          <w:sz w:val="22"/>
          <w:szCs w:val="22"/>
        </w:rPr>
      </w:pPr>
      <w:r>
        <w:rPr>
          <w:sz w:val="22"/>
          <w:szCs w:val="22"/>
        </w:rPr>
      </w:r>
    </w:p>
    <w:p>
      <w:pPr>
        <w:pStyle w:val="Normal"/>
        <w:spacing w:lineRule="auto" w:line="276"/>
        <w:ind w:right="-2" w:hanging="0"/>
        <w:jc w:val="both"/>
        <w:rPr>
          <w:sz w:val="22"/>
          <w:szCs w:val="22"/>
        </w:rPr>
      </w:pPr>
      <w:r>
        <w:rPr>
          <w:b/>
          <w:sz w:val="22"/>
          <w:szCs w:val="22"/>
        </w:rPr>
        <w:t xml:space="preserve">Justificativa: </w:t>
      </w:r>
      <w:r>
        <w:rPr>
          <w:sz w:val="22"/>
          <w:szCs w:val="22"/>
        </w:rPr>
        <w:t>A contratação de kits de lanches prontos para consumo imediato justifica-se pela necessidade de garantir condições adequadas de acolhimento, permanência e participação dos usuários nas atividades socioassistenciais desenvolvidas pela Secretaria Municipal de Assistência Social. As ações, que incluem oficinas, encontros coletivos e cursos de qualificação profissional, são direcionadas prioritariamente a pessoas em situação de vulnerabilidade social, muitas vezes expostas à insegurança alimentar, o que demanda suporte mínimo durante a execução das atividades para assegurar dignidade e efetividade no atendimento.</w:t>
      </w:r>
    </w:p>
    <w:p>
      <w:pPr>
        <w:pStyle w:val="Normal"/>
        <w:spacing w:lineRule="auto" w:line="276"/>
        <w:ind w:right="-2" w:hanging="0"/>
        <w:jc w:val="both"/>
        <w:rPr>
          <w:sz w:val="22"/>
          <w:szCs w:val="22"/>
        </w:rPr>
      </w:pPr>
      <w:r>
        <w:rPr>
          <w:sz w:val="22"/>
          <w:szCs w:val="22"/>
        </w:rPr>
      </w:r>
    </w:p>
    <w:p>
      <w:pPr>
        <w:pStyle w:val="Normal"/>
        <w:spacing w:lineRule="auto" w:line="276"/>
        <w:ind w:right="-2" w:hanging="0"/>
        <w:jc w:val="both"/>
        <w:rPr>
          <w:sz w:val="22"/>
          <w:szCs w:val="22"/>
        </w:rPr>
      </w:pPr>
      <w:r>
        <w:rPr>
          <w:sz w:val="22"/>
          <w:szCs w:val="22"/>
        </w:rPr>
        <w:t>Sob a ótica do interesse público, a disponibilização dos kits contribui diretamente para a continuidade das políticas públicas voltadas à inclusão social e ao fortalecimento da autonomia dos usuários, reduzindo índices de evasão e ampliando o aproveitamento das ações ofertadas pelo Município. A ausência desse suporte alimentar pode comprometer o engajamento dos participantes e prejudicar os resultados esperados dos programas socioassistenciais, impactando negativamente a eficiência administrativa e a aplicação dos recursos públicos já investidos nas iniciativas.</w:t>
      </w:r>
    </w:p>
    <w:p>
      <w:pPr>
        <w:pStyle w:val="Normal"/>
        <w:spacing w:lineRule="auto" w:line="276"/>
        <w:ind w:right="-2" w:hanging="0"/>
        <w:jc w:val="both"/>
        <w:rPr>
          <w:sz w:val="22"/>
          <w:szCs w:val="22"/>
        </w:rPr>
      </w:pPr>
      <w:r>
        <w:rPr>
          <w:sz w:val="22"/>
          <w:szCs w:val="22"/>
        </w:rPr>
      </w:r>
    </w:p>
    <w:p>
      <w:pPr>
        <w:pStyle w:val="Normal"/>
        <w:spacing w:lineRule="auto" w:line="276"/>
        <w:ind w:right="-2" w:hanging="0"/>
        <w:jc w:val="both"/>
        <w:rPr>
          <w:sz w:val="22"/>
          <w:szCs w:val="22"/>
        </w:rPr>
      </w:pPr>
      <w:r>
        <w:rPr>
          <w:sz w:val="22"/>
          <w:szCs w:val="22"/>
        </w:rPr>
        <w:t>Ademais, a adoção de kits prontos para consumo imediato apresenta-se como solução logística adequada, pois possibilita padronização, agilidade na distribuição e observância às normas sanitárias, especialmente em atividades realizadas em diferentes locais e horários. Dessa forma, a contratação mostra-se necessária, proporcional e alinhada aos objetivos institucionais da assistência social, assegurando condições mínimas para o desenvolvimento das ações voltadas ao público vulnerável e promovendo a efetividade das políticas públicas municipais.</w:t>
      </w:r>
    </w:p>
    <w:p>
      <w:pPr>
        <w:pStyle w:val="Normal"/>
        <w:spacing w:lineRule="auto" w:line="276"/>
        <w:ind w:right="-2" w:hanging="0"/>
        <w:jc w:val="both"/>
        <w:rPr>
          <w:sz w:val="22"/>
          <w:szCs w:val="22"/>
        </w:rPr>
      </w:pPr>
      <w:r>
        <w:rPr>
          <w:sz w:val="22"/>
          <w:szCs w:val="22"/>
        </w:rPr>
      </w:r>
    </w:p>
    <w:tbl>
      <w:tblPr>
        <w:tblStyle w:val="Tabelacomgrade"/>
        <w:tblW w:w="9479"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9479"/>
      </w:tblGrid>
      <w:tr>
        <w:trPr/>
        <w:tc>
          <w:tcPr>
            <w:tcW w:w="9479" w:type="dxa"/>
            <w:tcBorders>
              <w:top w:val="single" w:sz="12" w:space="0" w:color="000000"/>
              <w:left w:val="single" w:sz="12" w:space="0" w:color="000000"/>
              <w:bottom w:val="single" w:sz="12" w:space="0" w:color="000000"/>
              <w:right w:val="single" w:sz="12" w:space="0" w:color="000000"/>
            </w:tcBorders>
            <w:shd w:color="auto" w:fill="C6D9F1" w:themeFill="text2" w:themeFillTint="33" w:val="clear"/>
          </w:tcPr>
          <w:p>
            <w:pPr>
              <w:pStyle w:val="ListParagraph"/>
              <w:widowControl w:val="false"/>
              <w:tabs>
                <w:tab w:val="clear" w:pos="720"/>
                <w:tab w:val="left" w:pos="300" w:leader="none"/>
              </w:tabs>
              <w:spacing w:before="0" w:after="0"/>
              <w:ind w:left="0" w:right="-2" w:hanging="0"/>
              <w:contextualSpacing/>
              <w:jc w:val="both"/>
              <w:rPr>
                <w:b/>
                <w:sz w:val="22"/>
                <w:szCs w:val="22"/>
              </w:rPr>
            </w:pPr>
            <w:r>
              <w:rPr>
                <w:rFonts w:eastAsia="Times New Roman" w:cs="Times New Roman"/>
                <w:b/>
                <w:kern w:val="0"/>
                <w:sz w:val="22"/>
                <w:szCs w:val="22"/>
                <w:lang w:val="pt-BR" w:eastAsia="pt-BR" w:bidi="ar-SA"/>
              </w:rPr>
              <w:t>3. Descrição dos requisitos da potencial contratação (artigo 15, §1º, III, do Decreto nº 3.537/2023):</w:t>
            </w:r>
          </w:p>
          <w:p>
            <w:pPr>
              <w:pStyle w:val="ListParagraph"/>
              <w:widowControl w:val="false"/>
              <w:tabs>
                <w:tab w:val="clear" w:pos="720"/>
                <w:tab w:val="left" w:pos="300" w:leader="none"/>
              </w:tabs>
              <w:spacing w:before="0" w:after="0"/>
              <w:ind w:left="0" w:right="-2" w:hanging="0"/>
              <w:contextualSpacing/>
              <w:jc w:val="both"/>
              <w:rPr>
                <w:sz w:val="22"/>
                <w:szCs w:val="22"/>
              </w:rPr>
            </w:pPr>
            <w:r>
              <w:rPr>
                <w:sz w:val="22"/>
                <w:szCs w:val="22"/>
              </w:rPr>
            </w:r>
          </w:p>
        </w:tc>
      </w:tr>
    </w:tbl>
    <w:p>
      <w:pPr>
        <w:pStyle w:val="Normal"/>
        <w:spacing w:beforeAutospacing="1" w:afterAutospacing="1"/>
        <w:rPr/>
      </w:pPr>
      <w:r>
        <w:rPr/>
        <w:t xml:space="preserve">A definição dos requisitos da contratação observa a necessidade de fornecimento de kits de lanches prontos para consumo imediato, destinados aos usuários das atividades </w:t>
      </w:r>
      <w:r>
        <w:rPr>
          <w:sz w:val="22"/>
          <w:szCs w:val="22"/>
        </w:rPr>
        <w:t xml:space="preserve">socioassistenciais </w:t>
      </w:r>
      <w:r>
        <w:rPr/>
        <w:t>promovidas pela Secretaria Municipal de Assistência Social, considerando as características do público atendido e a finalidade das ações desenvolvidas. Nesse contexto, a solução a ser contratada deve garantir padronização, segurança alimentar e viabilidade logística, estabelecendo critérios mínimos capazes de assegurar qualidade, desempenho e adequação nutricional dos itens que compõem cada kit.</w:t>
      </w:r>
    </w:p>
    <w:p>
      <w:pPr>
        <w:pStyle w:val="Normal"/>
        <w:spacing w:beforeAutospacing="1" w:afterAutospacing="1"/>
        <w:rPr/>
      </w:pPr>
      <w:r>
        <w:rPr/>
        <w:t>Sob o aspecto técnico, os kits deverão ser compostos por itens industrializados e devidamente embalados, com validade mínima de três meses, possibilitando adequada gestão de estoque e redução de perdas. Cada conjunto deverá conter dois pacotes de bolinhos de sabores variados, com peso mínimo de quarenta gramas por unidade, preparados a partir de matérias-primas sãs e limpas, livres de sujidades e em perfeito estado de conservação, apresentando massa bem assada, com recheio e sem cobertura, vedada a entrega de produtos murchos, amassados, queimados ou mal assados. O kit deverá incluir ainda suco pronto para consumo, acondicionado em embalagem Tetra Pak com capacidade mínima de duzentos mililitros, isento de corantes artificiais e reconhecido como fonte de vitaminas e nutrientes, em sabores variados, bem como um pacote de biscoito salgado não derivado de polvilho, com peso mínimo de cento e quarenta gramas, igualmente produzido a partir de matérias-primas adequadas e em conformidade com padrões sanitários.</w:t>
      </w:r>
    </w:p>
    <w:p>
      <w:pPr>
        <w:pStyle w:val="Normal"/>
        <w:spacing w:beforeAutospacing="1" w:afterAutospacing="1"/>
        <w:rPr/>
      </w:pPr>
      <w:r>
        <w:rPr/>
        <w:t xml:space="preserve">Complementarmente, deverá integrar o kit uma unidade de achocolatado líquido enriquecido com vitaminas e minerais, também acondicionado em embalagem Tetra Pak com volume mínimo de duzentos mililitros, atendendo às mesmas exigências de validade e conservação. Todos os itens deverão ser acondicionados pela empresa contratada em saco plástico com dimensão aproximada de trinta por quarenta centímetros, admitida variação razoável, devidamente fechado com lacre tipo amarrilho encapado, garantindo integridade, higiene e facilidade na distribuição durante as atividades </w:t>
      </w:r>
      <w:r>
        <w:rPr>
          <w:sz w:val="22"/>
          <w:szCs w:val="22"/>
        </w:rPr>
        <w:t>socioassistenciais</w:t>
      </w:r>
      <w:r>
        <w:rPr/>
        <w:t>.</w:t>
      </w:r>
    </w:p>
    <w:p>
      <w:pPr>
        <w:pStyle w:val="Normal"/>
        <w:spacing w:beforeAutospacing="1" w:afterAutospacing="1"/>
        <w:rPr/>
      </w:pPr>
      <w:r>
        <w:rPr/>
        <w:t>No que se refere aos padrões mínimos de qualidade e desempenho, os produtos deverão apresentar aparência adequada ao consumo, sem sinais de deterioração, contaminação ou comprometimento estrutural das embalagens, observando integralmente as normas sanitárias vigentes e as boas práticas de manipulação e transporte de alimentos. A logística de fornecimento deverá assegurar que os kits sejam entregues em condições apropriadas de armazenamento, preservando suas características físicas, nutricionais e higiênico-sanitárias, de modo a atender com segurança o público em situação de vulnerabilidade social.</w:t>
      </w:r>
    </w:p>
    <w:p>
      <w:pPr>
        <w:pStyle w:val="Normal"/>
        <w:spacing w:beforeAutospacing="1" w:afterAutospacing="1"/>
        <w:rPr/>
      </w:pPr>
      <w:r>
        <w:rPr/>
        <w:t xml:space="preserve">Adicionalmente, os requisitos da contratação incorporam critérios de sustentabilidade alinhados às diretrizes da Administração Pública, priorizando a utilização de embalagens recicláveis, como o padrão Tetra Pak, bem como a padronização dos itens que compõem o kit, medida que contribui para a redução de desperdícios, otimização da distribuição e uso eficiente dos recursos públicos. Sob a perspectiva social, a solução proposta fortalece a execução das políticas </w:t>
      </w:r>
      <w:r>
        <w:rPr>
          <w:sz w:val="22"/>
          <w:szCs w:val="22"/>
        </w:rPr>
        <w:t>socioassistenciais</w:t>
      </w:r>
      <w:r>
        <w:rPr/>
        <w:t xml:space="preserve"> ao assegurar suporte alimentar adequado durante oficinas e cursos de qualificação profissional, promovendo condições dignas de participação e ampliando a efetividade das ações desenvolvidas pela Secretaria.</w:t>
      </w:r>
    </w:p>
    <w:p>
      <w:pPr>
        <w:pStyle w:val="Normal"/>
        <w:spacing w:beforeAutospacing="1" w:afterAutospacing="1"/>
        <w:rPr/>
      </w:pPr>
      <w:r>
        <w:rPr/>
        <w:t>Dessa forma, os requisitos definidos mostram-se necessários e suficientes para orientar a escolha da solução mais adequada ao atendimento da demanda pública identificada, assegurando qualidade, segurança alimentar, sustentabilidade e eficiência administrativa na execução do objeto pretendido.</w:t>
      </w:r>
    </w:p>
    <w:p>
      <w:pPr>
        <w:pStyle w:val="Normal"/>
        <w:tabs>
          <w:tab w:val="clear" w:pos="720"/>
          <w:tab w:val="left" w:pos="284" w:leader="none"/>
        </w:tabs>
        <w:spacing w:lineRule="auto" w:line="276"/>
        <w:ind w:right="-2" w:hanging="0"/>
        <w:jc w:val="both"/>
        <w:rPr>
          <w:sz w:val="22"/>
          <w:szCs w:val="22"/>
        </w:rPr>
      </w:pPr>
      <w:r>
        <w:rPr>
          <w:sz w:val="22"/>
          <w:szCs w:val="22"/>
        </w:rPr>
      </w:r>
    </w:p>
    <w:tbl>
      <w:tblPr>
        <w:tblStyle w:val="Tabelacomgrade"/>
        <w:tblW w:w="9344"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nil"/>
              <w:left w:val="nil"/>
              <w:bottom w:val="nil"/>
              <w:right w:val="nil"/>
            </w:tcBorders>
            <w:shd w:color="auto" w:fill="365F91" w:themeFill="accent1" w:themeFillShade="bf" w:val="clear"/>
          </w:tcPr>
          <w:p>
            <w:pPr>
              <w:pStyle w:val="Normal"/>
              <w:widowControl w:val="false"/>
              <w:spacing w:before="0" w:after="0"/>
              <w:ind w:right="-2" w:hanging="0"/>
              <w:jc w:val="both"/>
              <w:rPr>
                <w:sz w:val="22"/>
                <w:szCs w:val="22"/>
              </w:rPr>
            </w:pPr>
            <w:r>
              <w:rPr>
                <w:rFonts w:eastAsia="Times New Roman" w:cs="Times New Roman"/>
                <w:b/>
                <w:bCs/>
                <w:color w:val="FFFFFF" w:themeColor="background1"/>
                <w:kern w:val="0"/>
                <w:sz w:val="22"/>
                <w:szCs w:val="22"/>
                <w:lang w:val="pt-BR" w:eastAsia="pt-BR" w:bidi="ar-SA"/>
              </w:rPr>
              <w:t>III - Prospecção de Soluções (artigo 15, §1º, V e VI):</w:t>
            </w:r>
          </w:p>
        </w:tc>
      </w:tr>
      <w:tr>
        <w:trPr/>
        <w:tc>
          <w:tcPr>
            <w:tcW w:w="9344" w:type="dxa"/>
            <w:tcBorders>
              <w:top w:val="nil"/>
              <w:left w:val="nil"/>
              <w:bottom w:val="single" w:sz="12" w:space="0" w:color="17365D"/>
              <w:right w:val="nil"/>
            </w:tcBorders>
            <w:shd w:color="auto" w:fill="FFFFFF" w:themeFill="background1" w:val="clear"/>
          </w:tcPr>
          <w:p>
            <w:pPr>
              <w:pStyle w:val="Normal"/>
              <w:widowControl w:val="false"/>
              <w:spacing w:before="0" w:after="0"/>
              <w:ind w:right="-2" w:hanging="0"/>
              <w:jc w:val="both"/>
              <w:rPr>
                <w:b/>
                <w:bCs/>
                <w:sz w:val="22"/>
                <w:szCs w:val="22"/>
              </w:rPr>
            </w:pPr>
            <w:r>
              <w:rPr>
                <w:b/>
                <w:bCs/>
                <w:sz w:val="22"/>
                <w:szCs w:val="22"/>
              </w:rPr>
            </w:r>
          </w:p>
        </w:tc>
      </w:tr>
      <w:tr>
        <w:trPr/>
        <w:tc>
          <w:tcPr>
            <w:tcW w:w="9344" w:type="dxa"/>
            <w:tcBorders>
              <w:top w:val="single" w:sz="12" w:space="0" w:color="17365D"/>
              <w:left w:val="single" w:sz="12" w:space="0" w:color="17365D"/>
              <w:bottom w:val="single" w:sz="12" w:space="0" w:color="17365D"/>
              <w:right w:val="single" w:sz="12" w:space="0" w:color="17365D"/>
            </w:tcBorders>
            <w:shd w:color="auto" w:fill="C6D9F1" w:themeFill="text2" w:themeFillTint="33" w:val="clear"/>
          </w:tcPr>
          <w:p>
            <w:pPr>
              <w:pStyle w:val="ListParagraph"/>
              <w:widowControl w:val="false"/>
              <w:numPr>
                <w:ilvl w:val="0"/>
                <w:numId w:val="2"/>
              </w:numPr>
              <w:tabs>
                <w:tab w:val="clear" w:pos="720"/>
                <w:tab w:val="left" w:pos="320" w:leader="none"/>
              </w:tabs>
              <w:spacing w:before="0" w:after="0"/>
              <w:ind w:left="0" w:right="-2" w:hanging="2"/>
              <w:contextualSpacing/>
              <w:jc w:val="both"/>
              <w:rPr>
                <w:sz w:val="22"/>
                <w:szCs w:val="22"/>
              </w:rPr>
            </w:pPr>
            <w:r>
              <w:rPr>
                <w:rFonts w:eastAsia="Times New Roman" w:cs="Times New Roman"/>
                <w:b/>
                <w:bCs/>
                <w:kern w:val="0"/>
                <w:sz w:val="22"/>
                <w:szCs w:val="22"/>
                <w:lang w:val="pt-BR" w:eastAsia="pt-BR" w:bidi="ar-SA"/>
              </w:rPr>
              <w:t>Levantamento de Mercado (artigo 15, §1º V, do Decreto nº 3.537/2023):</w:t>
            </w:r>
          </w:p>
        </w:tc>
      </w:tr>
    </w:tbl>
    <w:p>
      <w:pPr>
        <w:pStyle w:val="Normal"/>
        <w:ind w:right="-2" w:hanging="0"/>
        <w:jc w:val="both"/>
        <w:rPr>
          <w:color w:val="FF0000"/>
          <w:sz w:val="22"/>
          <w:szCs w:val="22"/>
        </w:rPr>
      </w:pPr>
      <w:r>
        <w:rPr>
          <w:color w:val="FF0000"/>
          <w:sz w:val="22"/>
          <w:szCs w:val="22"/>
        </w:rPr>
      </w:r>
    </w:p>
    <w:p>
      <w:pPr>
        <w:pStyle w:val="Normal"/>
        <w:ind w:right="-2" w:hanging="0"/>
        <w:jc w:val="both"/>
        <w:rPr>
          <w:sz w:val="22"/>
          <w:szCs w:val="22"/>
        </w:rPr>
      </w:pPr>
      <w:r>
        <w:rPr>
          <w:sz w:val="22"/>
          <w:szCs w:val="22"/>
        </w:rPr>
        <w:t xml:space="preserve"> </w:t>
      </w:r>
      <w:r>
        <w:rPr>
          <w:sz w:val="22"/>
          <w:szCs w:val="22"/>
        </w:rPr>
        <w:t>O levantamento de mercado realizado para atendimento da necessidade identificada considerou as principais alternativas existentes para o fornecimento de alimentação durante atividades socioassistenciais, oficinas e cursos de qualificação profissional promovidos pela Secretaria Municipal de Assistência Social. A análise contemplou soluções comumente disponíveis no mercado, bem como práticas adotadas por outras administrações públicas, avaliando-se critérios técnicos, econômicos, operacionais, sanitários e ambientais, de modo a subsidiar a escolha da solução mais adequada ao interesse público.</w:t>
      </w:r>
    </w:p>
    <w:p>
      <w:pPr>
        <w:pStyle w:val="Normal"/>
        <w:ind w:right="-2" w:hanging="0"/>
        <w:jc w:val="both"/>
        <w:rPr>
          <w:sz w:val="22"/>
          <w:szCs w:val="22"/>
        </w:rPr>
      </w:pPr>
      <w:r>
        <w:rPr>
          <w:sz w:val="22"/>
          <w:szCs w:val="22"/>
        </w:rPr>
      </w:r>
    </w:p>
    <w:p>
      <w:pPr>
        <w:pStyle w:val="Normal"/>
        <w:ind w:right="-2" w:hanging="0"/>
        <w:jc w:val="both"/>
        <w:rPr>
          <w:sz w:val="22"/>
          <w:szCs w:val="22"/>
        </w:rPr>
      </w:pPr>
      <w:r>
        <w:rPr>
          <w:sz w:val="22"/>
          <w:szCs w:val="22"/>
        </w:rPr>
        <w:t>Uma das alternativas analisadas consistiu na aquisição de alimentos in natura para preparo dos lanches pela própria Administração ou por equipe terceirizada. Embora essa solução possibilite maior flexibilidade na composição alimentar, apresenta limitações técnicas relevantes, tais como a necessidade de infraestrutura adequada para armazenamento, preparo e manipulação de alimentos, contratação ou disponibilidade de mão de obra específica, cumprimento rigoroso de normas sanitárias e maior complexidade logística. Ademais, essa alternativa tende a gerar custos indiretos elevados, relacionados à aquisição de insumos, equipamentos, controle sanitário e gestão de resíduos orgânicos, além de ampliar os riscos operacionais e sanitários, o que a torna pouco eficiente para atividades descentralizadas e de curta duração.</w:t>
      </w:r>
    </w:p>
    <w:p>
      <w:pPr>
        <w:pStyle w:val="Normal"/>
        <w:ind w:right="-2" w:hanging="0"/>
        <w:jc w:val="both"/>
        <w:rPr>
          <w:sz w:val="22"/>
          <w:szCs w:val="22"/>
        </w:rPr>
      </w:pPr>
      <w:r>
        <w:rPr>
          <w:sz w:val="22"/>
          <w:szCs w:val="22"/>
        </w:rPr>
      </w:r>
    </w:p>
    <w:p>
      <w:pPr>
        <w:pStyle w:val="Normal"/>
        <w:ind w:right="-2" w:hanging="0"/>
        <w:jc w:val="both"/>
        <w:rPr>
          <w:sz w:val="22"/>
          <w:szCs w:val="22"/>
        </w:rPr>
      </w:pPr>
      <w:r>
        <w:rPr>
          <w:sz w:val="22"/>
          <w:szCs w:val="22"/>
        </w:rPr>
        <w:t>Outra alternativa considerada foi a contratação de serviços de preparo e fornecimento de lanches frescos no local das atividades. Apesar de potencialmente proporcionar alimentos recém-preparados, essa solução apresenta restrições operacionais significativas, sobretudo em razão da necessidade de deslocamento de equipes, montagem de estruturas temporárias, controle rigoroso de tempo e temperatura dos alimentos e maior custo logístico. Além disso, tal modalidade pode gerar impactos ambientais mais expressivos, em função do uso intensivo de descartáveis, transporte adicional e maior produção de resíduos, sem assegurar ganhos proporcionais de eficiência ou economicidade para a Administração.</w:t>
      </w:r>
    </w:p>
    <w:p>
      <w:pPr>
        <w:pStyle w:val="Normal"/>
        <w:ind w:right="-2" w:hanging="0"/>
        <w:jc w:val="both"/>
        <w:rPr>
          <w:sz w:val="22"/>
          <w:szCs w:val="22"/>
        </w:rPr>
      </w:pPr>
      <w:r>
        <w:rPr>
          <w:sz w:val="22"/>
          <w:szCs w:val="22"/>
        </w:rPr>
      </w:r>
    </w:p>
    <w:p>
      <w:pPr>
        <w:pStyle w:val="Normal"/>
        <w:ind w:right="-2" w:hanging="0"/>
        <w:jc w:val="both"/>
        <w:rPr>
          <w:sz w:val="22"/>
          <w:szCs w:val="22"/>
        </w:rPr>
      </w:pPr>
      <w:r>
        <w:rPr>
          <w:sz w:val="22"/>
          <w:szCs w:val="22"/>
        </w:rPr>
        <w:t>Também foi analisada a possibilidade de fornecimento de refeições prontas personalizadas ou sob encomenda, com composição variável conforme cada atividade. Embora essa alternativa ofereça maior customização, ela implica maior complexidade contratual, dificuldade de padronização, riscos de inconsistência na qualidade dos produtos e aumento dos custos administrativos e operacionais, especialmente diante da necessidade de ajustes frequentes de quantitativos e cardápios, o que pode comprometer a previsibilidade e a eficiência da execução contratual.</w:t>
      </w:r>
    </w:p>
    <w:p>
      <w:pPr>
        <w:pStyle w:val="Normal"/>
        <w:ind w:right="-2" w:hanging="0"/>
        <w:jc w:val="both"/>
        <w:rPr>
          <w:sz w:val="22"/>
          <w:szCs w:val="22"/>
        </w:rPr>
      </w:pPr>
      <w:r>
        <w:rPr>
          <w:sz w:val="22"/>
          <w:szCs w:val="22"/>
        </w:rPr>
      </w:r>
    </w:p>
    <w:p>
      <w:pPr>
        <w:pStyle w:val="Normal"/>
        <w:ind w:right="-2" w:hanging="0"/>
        <w:jc w:val="both"/>
        <w:rPr>
          <w:sz w:val="22"/>
          <w:szCs w:val="22"/>
        </w:rPr>
      </w:pPr>
      <w:r>
        <w:rPr>
          <w:sz w:val="22"/>
          <w:szCs w:val="22"/>
        </w:rPr>
        <w:t>Em contraposição, a solução consistente na aquisição de kits de lanches industrializados e prontos para consumo imediato apresentou-se como a alternativa tecnicamente mais adequada e economicamente mais vantajosa para atender à demanda identificada. Essa solução permite padronização dos itens fornecidos, facilidade de armazenamento e distribuição, menor risco sanitário, maior previsibilidade operacional e redução de custos indiretos associados à logística, mão de obra e controle sanitário. Do ponto de vista ambiental, a utilização de embalagens padronizadas e recicláveis, aliada ao planejamento das entregas, contribui para a mitigação de desperdícios e para a racionalização do uso de recursos.</w:t>
      </w:r>
    </w:p>
    <w:p>
      <w:pPr>
        <w:pStyle w:val="Normal"/>
        <w:ind w:right="-2" w:hanging="0"/>
        <w:jc w:val="both"/>
        <w:rPr>
          <w:sz w:val="22"/>
          <w:szCs w:val="22"/>
        </w:rPr>
      </w:pPr>
      <w:r>
        <w:rPr>
          <w:sz w:val="22"/>
          <w:szCs w:val="22"/>
        </w:rPr>
      </w:r>
    </w:p>
    <w:p>
      <w:pPr>
        <w:pStyle w:val="Normal"/>
        <w:ind w:right="-2" w:hanging="0"/>
        <w:jc w:val="both"/>
        <w:rPr>
          <w:sz w:val="22"/>
          <w:szCs w:val="22"/>
        </w:rPr>
      </w:pPr>
      <w:r>
        <w:rPr>
          <w:sz w:val="22"/>
          <w:szCs w:val="22"/>
        </w:rPr>
        <w:t>Do ponto de vista econômico, a adoção de kits padronizados possibilita melhor controle do quantitativo fornecido, evita perdas decorrentes de alimentos perecíveis preparados sob demanda e reduz custos administrativos relacionados à gestão do contrato. Ademais, essa solução mostra-se compatível com a realidade das atividades socioassistenciais, que envolvem públicos vulneráveis, cronogramas variados e locais distintos, exigindo agilidade, segurança e simplicidade na execução.</w:t>
      </w:r>
    </w:p>
    <w:p>
      <w:pPr>
        <w:pStyle w:val="Normal"/>
        <w:ind w:right="-2" w:hanging="0"/>
        <w:jc w:val="both"/>
        <w:rPr>
          <w:sz w:val="22"/>
          <w:szCs w:val="22"/>
        </w:rPr>
      </w:pPr>
      <w:r>
        <w:rPr>
          <w:sz w:val="22"/>
          <w:szCs w:val="22"/>
        </w:rPr>
      </w:r>
    </w:p>
    <w:p>
      <w:pPr>
        <w:pStyle w:val="Normal"/>
        <w:ind w:right="-2" w:hanging="0"/>
        <w:jc w:val="both"/>
        <w:rPr>
          <w:sz w:val="22"/>
          <w:szCs w:val="22"/>
        </w:rPr>
      </w:pPr>
      <w:r>
        <w:rPr>
          <w:sz w:val="22"/>
          <w:szCs w:val="22"/>
        </w:rPr>
        <w:t>Dessa forma, a análise comparativa das alternativas disponíveis no mercado evidencia que a contratação de kits de lanches prontos para consumo imediato atende de forma mais eficiente, segura e sustentável à necessidade pública identificada, apresentando equilíbrio entre qualidade, custo, viabilidade operacional e impacto ambiental, razão pela qual se justifica tecnicamente e economicamente a escolha dessa solução para a presente contratação.</w:t>
      </w:r>
    </w:p>
    <w:p>
      <w:pPr>
        <w:pStyle w:val="Normal"/>
        <w:ind w:right="-2" w:hanging="0"/>
        <w:jc w:val="both"/>
        <w:rPr>
          <w:color w:val="FF0000"/>
          <w:sz w:val="22"/>
          <w:szCs w:val="22"/>
        </w:rPr>
      </w:pPr>
      <w:r>
        <w:rPr>
          <w:color w:val="FF0000"/>
          <w:sz w:val="22"/>
          <w:szCs w:val="22"/>
        </w:rPr>
      </w:r>
    </w:p>
    <w:p>
      <w:pPr>
        <w:pStyle w:val="Normal"/>
        <w:ind w:right="-2" w:hanging="0"/>
        <w:jc w:val="both"/>
        <w:rPr>
          <w:color w:val="FF0000"/>
          <w:sz w:val="22"/>
          <w:szCs w:val="22"/>
        </w:rPr>
      </w:pPr>
      <w:r>
        <w:rPr>
          <w:color w:val="FF0000"/>
          <w:sz w:val="22"/>
          <w:szCs w:val="22"/>
        </w:rPr>
      </w:r>
    </w:p>
    <w:tbl>
      <w:tblPr>
        <w:tblStyle w:val="Tabelacomgrade"/>
        <w:tblW w:w="9344" w:type="dxa"/>
        <w:jc w:val="left"/>
        <w:tblInd w:w="123"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single" w:sz="12" w:space="0" w:color="17365D"/>
              <w:left w:val="single" w:sz="12" w:space="0" w:color="17365D"/>
              <w:bottom w:val="single" w:sz="12" w:space="0" w:color="17365D"/>
              <w:right w:val="single" w:sz="12" w:space="0" w:color="17365D"/>
            </w:tcBorders>
            <w:shd w:color="auto" w:fill="C6D9F1" w:themeFill="text2" w:themeFillTint="33" w:val="clear"/>
          </w:tcPr>
          <w:p>
            <w:pPr>
              <w:pStyle w:val="ListParagraph"/>
              <w:widowControl w:val="false"/>
              <w:numPr>
                <w:ilvl w:val="0"/>
                <w:numId w:val="2"/>
              </w:numPr>
              <w:spacing w:before="0" w:after="0"/>
              <w:ind w:left="0" w:right="-2" w:hanging="2"/>
              <w:contextualSpacing/>
              <w:jc w:val="both"/>
              <w:rPr>
                <w:color w:val="FF0000"/>
                <w:sz w:val="22"/>
                <w:szCs w:val="22"/>
              </w:rPr>
            </w:pPr>
            <w:r>
              <w:rPr>
                <w:rFonts w:eastAsia="Times New Roman" w:cs="Times New Roman"/>
                <w:b/>
                <w:bCs/>
                <w:kern w:val="0"/>
                <w:sz w:val="22"/>
                <w:szCs w:val="22"/>
                <w:lang w:val="pt-BR" w:eastAsia="pt-BR" w:bidi="ar-SA"/>
              </w:rPr>
              <w:t>Estimativa do valor da contratação (art. 15, §1º VI do Decreto nº 3.537/2023):</w:t>
            </w:r>
          </w:p>
        </w:tc>
      </w:tr>
    </w:tbl>
    <w:p>
      <w:pPr>
        <w:pStyle w:val="Normal"/>
        <w:ind w:right="-2" w:hanging="0"/>
        <w:jc w:val="both"/>
        <w:rPr>
          <w:color w:val="FF0000"/>
          <w:sz w:val="22"/>
          <w:szCs w:val="22"/>
        </w:rPr>
      </w:pPr>
      <w:r>
        <w:rPr>
          <w:color w:val="FF0000"/>
          <w:sz w:val="22"/>
          <w:szCs w:val="22"/>
        </w:rPr>
      </w:r>
    </w:p>
    <w:p>
      <w:pPr>
        <w:pStyle w:val="Normal"/>
        <w:ind w:right="-2" w:hanging="0"/>
        <w:jc w:val="both"/>
        <w:rPr>
          <w:sz w:val="22"/>
          <w:szCs w:val="22"/>
        </w:rPr>
      </w:pPr>
      <w:r>
        <w:rPr>
          <w:sz w:val="22"/>
          <w:szCs w:val="22"/>
        </w:rPr>
        <w:t>2.1. A estimativa de valor da contratação realizada nesse ETP visa levantar o eventual gasto com a solução escolhida de modo a avaliar a viabilidade econômica da opção. Foram realizadas análises de contratações similares ao objeto feitas por outros órgãos e entidades da administração pública, a fim de identificar nestas contratações a existência de novas metodologias, tecnologias e inovações que melhor atendam às necessidades da Administração.</w:t>
      </w:r>
    </w:p>
    <w:p>
      <w:pPr>
        <w:pStyle w:val="Normal"/>
        <w:ind w:right="-2" w:hanging="0"/>
        <w:jc w:val="both"/>
        <w:rPr>
          <w:sz w:val="22"/>
          <w:szCs w:val="22"/>
        </w:rPr>
      </w:pPr>
      <w:r>
        <w:rPr>
          <w:sz w:val="22"/>
          <w:szCs w:val="22"/>
        </w:rPr>
        <w:t>2.2. A pesquisa de preço deste estudo utilizou a metodologia disposta em Art. 368 do Municipal nº 3.537/2023, sendo os preços obtidos de forma combinada:</w:t>
      </w:r>
    </w:p>
    <w:p>
      <w:pPr>
        <w:pStyle w:val="Normal"/>
        <w:ind w:right="-2" w:hanging="0"/>
        <w:jc w:val="both"/>
        <w:rPr>
          <w:sz w:val="22"/>
          <w:szCs w:val="22"/>
        </w:rPr>
      </w:pPr>
      <w:r>
        <w:rPr>
          <w:sz w:val="22"/>
          <w:szCs w:val="22"/>
        </w:rPr>
        <w:t>2.2.1. Composição de custos unitários menores ou iguais à mediana do item correspondente no painel para consulta de preços no site: https://paineldeprecos.planejamento.gov.br/</w:t>
      </w:r>
    </w:p>
    <w:p>
      <w:pPr>
        <w:pStyle w:val="Normal"/>
        <w:ind w:right="-2" w:hanging="0"/>
        <w:jc w:val="both"/>
        <w:rPr>
          <w:sz w:val="22"/>
          <w:szCs w:val="22"/>
        </w:rPr>
      </w:pPr>
      <w:r>
        <w:rPr>
          <w:sz w:val="22"/>
          <w:szCs w:val="22"/>
        </w:rPr>
        <w:t>2.2.2.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p>
    <w:p>
      <w:pPr>
        <w:pStyle w:val="Normal"/>
        <w:ind w:right="-2" w:hanging="0"/>
        <w:jc w:val="both"/>
        <w:rPr>
          <w:sz w:val="22"/>
          <w:szCs w:val="22"/>
        </w:rPr>
      </w:pPr>
      <w:r>
        <w:rPr>
          <w:sz w:val="22"/>
          <w:szCs w:val="22"/>
        </w:rPr>
        <w:t>2.2.3. Utilização de dados de sítios eletrônicos especializados ou de domínio amplo, contendo a data e hora de acesso;</w:t>
      </w:r>
    </w:p>
    <w:p>
      <w:pPr>
        <w:pStyle w:val="Normal"/>
        <w:ind w:right="-2" w:hanging="0"/>
        <w:jc w:val="both"/>
        <w:rPr>
          <w:sz w:val="22"/>
          <w:szCs w:val="22"/>
        </w:rPr>
      </w:pPr>
      <w:r>
        <w:rPr>
          <w:sz w:val="22"/>
          <w:szCs w:val="22"/>
        </w:rPr>
        <w:t>2.2.4. Pesquisa direta com no mínimo 03 (três) fornecedores ou prestadores de serviços, conforme o caso, desde que seja apresentada justificativa da escolha desses fornecedores;</w:t>
      </w:r>
    </w:p>
    <w:p>
      <w:pPr>
        <w:pStyle w:val="Normal"/>
        <w:ind w:right="-2" w:hanging="0"/>
        <w:jc w:val="both"/>
        <w:rPr>
          <w:color w:val="FF0000"/>
          <w:sz w:val="22"/>
          <w:szCs w:val="22"/>
        </w:rPr>
      </w:pPr>
      <w:r>
        <w:rPr>
          <w:sz w:val="22"/>
          <w:szCs w:val="22"/>
        </w:rPr>
        <w:t>2.3. Para identificar o valor para o item a ser adquirido foi utilizado o MÉTODO ESTATÍSTICO da MÉDIA de preços, pois os valores coletados não possuem grandes variações de preços e os dados estão dispostos de forma homogênea, que aponta como estimativa de preço inicial unitário para aquisição dos itens relacionados abaixo:</w:t>
      </w:r>
    </w:p>
    <w:p>
      <w:pPr>
        <w:pStyle w:val="Normal"/>
        <w:ind w:right="-2" w:hanging="0"/>
        <w:jc w:val="both"/>
        <w:rPr>
          <w:sz w:val="22"/>
          <w:szCs w:val="22"/>
        </w:rPr>
      </w:pPr>
      <w:r>
        <w:rPr>
          <w:sz w:val="22"/>
          <w:szCs w:val="22"/>
        </w:rPr>
        <w:t>2.1.4. A média de mercado apurada foi de R$12,17 (doze reais e dezessete centavos) por kit.</w:t>
      </w:r>
    </w:p>
    <w:p>
      <w:pPr>
        <w:pStyle w:val="Normal"/>
        <w:ind w:right="-2" w:hanging="0"/>
        <w:jc w:val="both"/>
        <w:rPr>
          <w:sz w:val="22"/>
          <w:szCs w:val="22"/>
        </w:rPr>
      </w:pPr>
      <w:r>
        <w:rPr>
          <w:sz w:val="22"/>
          <w:szCs w:val="22"/>
        </w:rPr>
        <w:t>2.5. Para a formação do preço estimado, foram consideradas fontes complementares de pesquisa, a fim de garantir maior aderência à realidade de mercado e ao contexto local:</w:t>
      </w:r>
    </w:p>
    <w:p>
      <w:pPr>
        <w:pStyle w:val="Normal"/>
        <w:spacing w:beforeAutospacing="1" w:afterAutospacing="1"/>
        <w:rPr>
          <w:sz w:val="22"/>
        </w:rPr>
      </w:pPr>
      <w:r>
        <w:rPr>
          <w:b/>
          <w:bCs/>
          <w:sz w:val="22"/>
        </w:rPr>
        <w:t>a) Pesquisa de preços junto a fornecedores locais</w:t>
      </w:r>
      <w:r>
        <w:rPr>
          <w:sz w:val="22"/>
        </w:rPr>
        <w:t>, sediados no Município de Bandeirantes/PR, contemplando os seguintes estabelecimentos:</w:t>
      </w:r>
    </w:p>
    <w:p>
      <w:pPr>
        <w:pStyle w:val="Normal"/>
        <w:rPr>
          <w:sz w:val="22"/>
        </w:rPr>
      </w:pPr>
      <w:r>
        <w:rPr>
          <w:sz w:val="22"/>
        </w:rPr>
        <w:t>1- Eduardo Ravagnani (Supermercado Guaíra)</w:t>
        <w:br/>
        <w:t>2- Rodrigo Cesar do Nascimento (Padaria D’karanova)</w:t>
      </w:r>
    </w:p>
    <w:p>
      <w:pPr>
        <w:pStyle w:val="Normal"/>
        <w:rPr>
          <w:sz w:val="22"/>
        </w:rPr>
      </w:pPr>
      <w:r>
        <w:rPr>
          <w:sz w:val="22"/>
        </w:rPr>
        <w:t>3- Cristiane Nieto Arantes Ltda (BCG Alimentos)</w:t>
      </w:r>
    </w:p>
    <w:p>
      <w:pPr>
        <w:pStyle w:val="Normal"/>
        <w:rPr>
          <w:sz w:val="22"/>
        </w:rPr>
      </w:pPr>
      <w:r>
        <w:rPr>
          <w:sz w:val="22"/>
        </w:rPr>
      </w:r>
    </w:p>
    <w:p>
      <w:pPr>
        <w:pStyle w:val="Normal"/>
        <w:rPr>
          <w:sz w:val="22"/>
        </w:rPr>
      </w:pPr>
      <w:r>
        <w:rPr>
          <w:sz w:val="22"/>
        </w:rPr>
        <w:t>Houve ainda os fornecedores que apesar de contatados através de e-mail, não retornaram com o orçamento no prazo estipulado, sendo eles:</w:t>
        <w:br/>
      </w:r>
    </w:p>
    <w:p>
      <w:pPr>
        <w:pStyle w:val="Normal"/>
        <w:rPr>
          <w:sz w:val="22"/>
        </w:rPr>
      </w:pPr>
      <w:hyperlink r:id="rId2" w:tgtFrame="financeiro@alexandrecomercial.com">
        <w:r>
          <w:rPr>
            <w:rStyle w:val="LinkdaInternet"/>
            <w:rFonts w:cs="Arial" w:ascii="Arial" w:hAnsi="Arial"/>
            <w:color w:val="000000"/>
            <w:sz w:val="21"/>
            <w:szCs w:val="21"/>
            <w:shd w:fill="FFFFFF" w:val="clear"/>
          </w:rPr>
          <w:t>financeiro@alexandrecomercial.com</w:t>
        </w:r>
      </w:hyperlink>
      <w:r>
        <w:rPr>
          <w:sz w:val="22"/>
        </w:rPr>
        <w:br/>
      </w:r>
      <w:hyperlink r:id="rId3" w:tgtFrame="raphael@rm.alimentos.com.br">
        <w:r>
          <w:rPr>
            <w:rStyle w:val="LinkdaInternet"/>
            <w:rFonts w:cs="Arial" w:ascii="Arial" w:hAnsi="Arial"/>
            <w:color w:val="000000"/>
            <w:sz w:val="21"/>
            <w:szCs w:val="21"/>
            <w:shd w:fill="FFFFFF" w:val="clear"/>
          </w:rPr>
          <w:t>raphael@rm.alimentos.com.br</w:t>
        </w:r>
      </w:hyperlink>
      <w:r>
        <w:rPr/>
        <w:br/>
      </w:r>
      <w:hyperlink r:id="rId4" w:tgtFrame="crfalimentos22@gmail.com">
        <w:r>
          <w:rPr>
            <w:rStyle w:val="LinkdaInternet"/>
            <w:rFonts w:cs="Arial" w:ascii="Arial" w:hAnsi="Arial"/>
            <w:color w:val="auto"/>
            <w:sz w:val="21"/>
            <w:szCs w:val="21"/>
          </w:rPr>
          <w:t>crfalimentos22@gmail.com</w:t>
        </w:r>
      </w:hyperlink>
      <w:r>
        <w:rPr/>
        <w:br/>
      </w:r>
      <w:hyperlink r:id="rId5" w:tgtFrame="monteiro.maro@gmail.com">
        <w:r>
          <w:rPr>
            <w:rStyle w:val="LinkdaInternet"/>
            <w:rFonts w:cs="Arial" w:ascii="Arial" w:hAnsi="Arial"/>
            <w:color w:val="000000"/>
            <w:sz w:val="21"/>
            <w:szCs w:val="21"/>
            <w:shd w:fill="FFFFFF" w:val="clear"/>
          </w:rPr>
          <w:t>monteiro.maro@gmail.com</w:t>
        </w:r>
      </w:hyperlink>
      <w:r>
        <w:rPr/>
        <w:br/>
      </w:r>
      <w:hyperlink r:id="rId6" w:tgtFrame="aguiataque@hotmail.com">
        <w:r>
          <w:rPr>
            <w:rStyle w:val="LinkdaInternet"/>
            <w:rFonts w:cs="Arial" w:ascii="Arial" w:hAnsi="Arial"/>
            <w:color w:val="000000"/>
            <w:sz w:val="21"/>
            <w:szCs w:val="21"/>
            <w:shd w:fill="FFFFFF" w:val="clear"/>
          </w:rPr>
          <w:t>aguiataque@hotmail.com</w:t>
        </w:r>
      </w:hyperlink>
      <w:r>
        <w:rPr/>
        <w:br/>
      </w:r>
      <w:hyperlink r:id="rId7" w:tgtFrame="ro91624420@gmail.com">
        <w:r>
          <w:rPr>
            <w:rStyle w:val="LinkdaInternet"/>
            <w:rFonts w:cs="Arial" w:ascii="Arial" w:hAnsi="Arial"/>
            <w:color w:val="auto"/>
            <w:sz w:val="21"/>
            <w:szCs w:val="21"/>
          </w:rPr>
          <w:t>ro91624420@gmail.com</w:t>
        </w:r>
      </w:hyperlink>
      <w:r>
        <w:rPr>
          <w:rFonts w:cs="Arial" w:ascii="Arial" w:hAnsi="Arial"/>
          <w:sz w:val="21"/>
          <w:szCs w:val="21"/>
          <w:shd w:fill="FFFFFF" w:val="clear"/>
        </w:rPr>
        <w:t> </w:t>
        <w:br/>
      </w:r>
    </w:p>
    <w:p>
      <w:pPr>
        <w:pStyle w:val="Normal"/>
        <w:spacing w:beforeAutospacing="1" w:afterAutospacing="1"/>
        <w:ind w:firstLine="720"/>
        <w:rPr>
          <w:sz w:val="22"/>
        </w:rPr>
      </w:pPr>
      <w:r>
        <w:rPr>
          <w:sz w:val="22"/>
        </w:rPr>
        <w:t xml:space="preserve">Os valores coletados referem-se ao fornecimento de kit de lanches, conforme especificações do objeto, sendo apurada a </w:t>
      </w:r>
      <w:r>
        <w:rPr>
          <w:bCs/>
          <w:sz w:val="22"/>
        </w:rPr>
        <w:t>média aritmética dos preços válidos obtidos</w:t>
      </w:r>
      <w:r>
        <w:rPr>
          <w:sz w:val="22"/>
        </w:rPr>
        <w:t>, desconsiderando-se eventuais valores inexequíveis ou incompatíveis com o mercado.</w:t>
      </w:r>
    </w:p>
    <w:p>
      <w:pPr>
        <w:pStyle w:val="Normal"/>
        <w:spacing w:beforeAutospacing="1" w:afterAutospacing="1"/>
        <w:ind w:firstLine="720"/>
        <w:rPr>
          <w:sz w:val="22"/>
        </w:rPr>
      </w:pPr>
      <w:r>
        <w:rPr>
          <w:b/>
          <w:sz w:val="22"/>
        </w:rPr>
        <w:t>b) Pesquisa de preços obtida a partir de contratações públicas similares realizadas por outros municípios</w:t>
      </w:r>
      <w:r>
        <w:rPr>
          <w:sz w:val="22"/>
        </w:rPr>
        <w:t>, extraídas de dados disponíveis no Painel Nacional de Contratações Públicas – PNCP, abrangendo municípios com características compatíveis, tais como:</w:t>
      </w:r>
    </w:p>
    <w:p>
      <w:pPr>
        <w:pStyle w:val="Normal"/>
        <w:spacing w:beforeAutospacing="1" w:afterAutospacing="1"/>
        <w:rPr>
          <w:b/>
        </w:rPr>
      </w:pPr>
      <w:r>
        <w:rPr>
          <w:b/>
        </w:rPr>
        <w:t>Achocolatado 200ml</w:t>
      </w:r>
    </w:p>
    <w:p>
      <w:pPr>
        <w:pStyle w:val="ListParagraph"/>
        <w:numPr>
          <w:ilvl w:val="0"/>
          <w:numId w:val="6"/>
        </w:numPr>
        <w:spacing w:beforeAutospacing="1" w:after="0"/>
        <w:contextualSpacing/>
        <w:rPr>
          <w:b/>
        </w:rPr>
      </w:pPr>
      <w:r>
        <w:rPr/>
        <w:t>Prefeitura Municipal de São José do Rio Pardo/SP</w:t>
      </w:r>
    </w:p>
    <w:p>
      <w:pPr>
        <w:pStyle w:val="ListParagraph"/>
        <w:numPr>
          <w:ilvl w:val="0"/>
          <w:numId w:val="6"/>
        </w:numPr>
        <w:spacing w:before="0" w:after="0"/>
        <w:contextualSpacing/>
        <w:rPr>
          <w:b/>
        </w:rPr>
      </w:pPr>
      <w:r>
        <w:rPr/>
        <w:t>Prefeitura Municipal de Montanha/ES</w:t>
      </w:r>
    </w:p>
    <w:p>
      <w:pPr>
        <w:pStyle w:val="ListParagraph"/>
        <w:numPr>
          <w:ilvl w:val="0"/>
          <w:numId w:val="6"/>
        </w:numPr>
        <w:spacing w:before="0" w:after="0"/>
        <w:contextualSpacing/>
        <w:rPr>
          <w:b/>
        </w:rPr>
      </w:pPr>
      <w:r>
        <w:rPr/>
        <w:t>Prefeitura Municipal de Monsenhor Gil/PI</w:t>
      </w:r>
    </w:p>
    <w:p>
      <w:pPr>
        <w:pStyle w:val="ListParagraph"/>
        <w:numPr>
          <w:ilvl w:val="0"/>
          <w:numId w:val="6"/>
        </w:numPr>
        <w:spacing w:before="0" w:after="0"/>
        <w:contextualSpacing/>
        <w:rPr>
          <w:b/>
        </w:rPr>
      </w:pPr>
      <w:r>
        <w:rPr/>
        <w:t>Prefeitura Municipal de Sapopema/PR</w:t>
      </w:r>
    </w:p>
    <w:p>
      <w:pPr>
        <w:pStyle w:val="ListParagraph"/>
        <w:numPr>
          <w:ilvl w:val="0"/>
          <w:numId w:val="6"/>
        </w:numPr>
        <w:spacing w:before="0" w:afterAutospacing="1"/>
        <w:contextualSpacing/>
        <w:rPr>
          <w:b/>
        </w:rPr>
      </w:pPr>
      <w:r>
        <w:rPr/>
        <w:t>Prefeitura Municipal de Virgínia/MG</w:t>
      </w:r>
    </w:p>
    <w:p>
      <w:pPr>
        <w:pStyle w:val="Normal"/>
        <w:spacing w:beforeAutospacing="1" w:afterAutospacing="1"/>
        <w:rPr>
          <w:b/>
        </w:rPr>
      </w:pPr>
      <w:r>
        <w:rPr>
          <w:b/>
        </w:rPr>
        <w:t>Suco 200ml sem corantes</w:t>
      </w:r>
    </w:p>
    <w:p>
      <w:pPr>
        <w:pStyle w:val="ListParagraph"/>
        <w:numPr>
          <w:ilvl w:val="0"/>
          <w:numId w:val="7"/>
        </w:numPr>
        <w:spacing w:beforeAutospacing="1" w:after="0"/>
        <w:contextualSpacing/>
        <w:rPr>
          <w:b/>
        </w:rPr>
      </w:pPr>
      <w:r>
        <w:rPr/>
        <w:t>Prefeitura Municipal de Tietê/SP</w:t>
      </w:r>
    </w:p>
    <w:p>
      <w:pPr>
        <w:pStyle w:val="ListParagraph"/>
        <w:numPr>
          <w:ilvl w:val="0"/>
          <w:numId w:val="7"/>
        </w:numPr>
        <w:spacing w:before="0" w:after="0"/>
        <w:contextualSpacing/>
        <w:rPr>
          <w:b/>
        </w:rPr>
      </w:pPr>
      <w:r>
        <w:rPr/>
        <w:t>Prefeitura Municipal de Sapopema/PR</w:t>
      </w:r>
    </w:p>
    <w:p>
      <w:pPr>
        <w:pStyle w:val="ListParagraph"/>
        <w:numPr>
          <w:ilvl w:val="0"/>
          <w:numId w:val="7"/>
        </w:numPr>
        <w:spacing w:before="0" w:after="0"/>
        <w:contextualSpacing/>
        <w:rPr>
          <w:b/>
        </w:rPr>
      </w:pPr>
      <w:r>
        <w:rPr/>
        <w:t>Prefeitura Municipal de Bauru/SP</w:t>
      </w:r>
    </w:p>
    <w:p>
      <w:pPr>
        <w:pStyle w:val="ListParagraph"/>
        <w:numPr>
          <w:ilvl w:val="0"/>
          <w:numId w:val="7"/>
        </w:numPr>
        <w:spacing w:before="0" w:afterAutospacing="1"/>
        <w:contextualSpacing/>
        <w:rPr>
          <w:b/>
        </w:rPr>
      </w:pPr>
      <w:r>
        <w:rPr/>
        <w:t>Governo do Estado do Espírito Santo/ES</w:t>
      </w:r>
    </w:p>
    <w:p>
      <w:pPr>
        <w:pStyle w:val="Normal"/>
        <w:spacing w:beforeAutospacing="1" w:afterAutospacing="1"/>
        <w:rPr>
          <w:b/>
        </w:rPr>
      </w:pPr>
      <w:r>
        <w:rPr>
          <w:b/>
        </w:rPr>
        <w:t>Bolinho 40g recheado</w:t>
      </w:r>
    </w:p>
    <w:p>
      <w:pPr>
        <w:pStyle w:val="ListParagraph"/>
        <w:numPr>
          <w:ilvl w:val="0"/>
          <w:numId w:val="8"/>
        </w:numPr>
        <w:spacing w:beforeAutospacing="1" w:afterAutospacing="1"/>
        <w:contextualSpacing/>
        <w:rPr>
          <w:b/>
        </w:rPr>
      </w:pPr>
      <w:r>
        <w:rPr/>
        <w:t>Prefeitura Municipal de Virgínia/MG</w:t>
      </w:r>
    </w:p>
    <w:p>
      <w:pPr>
        <w:pStyle w:val="ListParagraph"/>
        <w:spacing w:beforeAutospacing="1" w:afterAutospacing="1"/>
        <w:contextualSpacing/>
        <w:rPr>
          <w:b/>
        </w:rPr>
      </w:pPr>
      <w:r>
        <w:rPr>
          <w:b/>
        </w:rPr>
      </w:r>
    </w:p>
    <w:p>
      <w:pPr>
        <w:pStyle w:val="Normal"/>
        <w:spacing w:beforeAutospacing="1" w:afterAutospacing="1"/>
        <w:rPr>
          <w:b/>
        </w:rPr>
      </w:pPr>
      <w:r>
        <w:rPr>
          <w:b/>
        </w:rPr>
        <w:t>Pacote de biscoito salgado 140g</w:t>
      </w:r>
    </w:p>
    <w:p>
      <w:pPr>
        <w:pStyle w:val="ListParagraph"/>
        <w:numPr>
          <w:ilvl w:val="0"/>
          <w:numId w:val="9"/>
        </w:numPr>
        <w:spacing w:beforeAutospacing="1" w:after="0"/>
        <w:contextualSpacing/>
        <w:rPr>
          <w:b/>
        </w:rPr>
      </w:pPr>
      <w:r>
        <w:rPr/>
        <w:t>Secretaria de Estado de Justiça e Segurança Pública/AC</w:t>
      </w:r>
    </w:p>
    <w:p>
      <w:pPr>
        <w:pStyle w:val="ListParagraph"/>
        <w:numPr>
          <w:ilvl w:val="0"/>
          <w:numId w:val="9"/>
        </w:numPr>
        <w:spacing w:before="0" w:after="0"/>
        <w:contextualSpacing/>
        <w:rPr>
          <w:b/>
        </w:rPr>
      </w:pPr>
      <w:r>
        <w:rPr/>
        <w:t>Prefeitura Municipal de Pindorama/SP</w:t>
      </w:r>
    </w:p>
    <w:p>
      <w:pPr>
        <w:pStyle w:val="ListParagraph"/>
        <w:numPr>
          <w:ilvl w:val="0"/>
          <w:numId w:val="9"/>
        </w:numPr>
        <w:spacing w:before="0" w:after="0"/>
        <w:contextualSpacing/>
        <w:rPr>
          <w:b/>
        </w:rPr>
      </w:pPr>
      <w:r>
        <w:rPr/>
        <w:t>Governo do Estado do Espírito Santo/ES</w:t>
      </w:r>
    </w:p>
    <w:p>
      <w:pPr>
        <w:pStyle w:val="ListParagraph"/>
        <w:numPr>
          <w:ilvl w:val="0"/>
          <w:numId w:val="9"/>
        </w:numPr>
        <w:spacing w:before="0" w:after="0"/>
        <w:contextualSpacing/>
        <w:rPr>
          <w:b/>
        </w:rPr>
      </w:pPr>
      <w:r>
        <w:rPr/>
        <w:t>Prefeitura Municipal de Caucaia/CE</w:t>
      </w:r>
    </w:p>
    <w:p>
      <w:pPr>
        <w:pStyle w:val="ListParagraph"/>
        <w:numPr>
          <w:ilvl w:val="0"/>
          <w:numId w:val="9"/>
        </w:numPr>
        <w:spacing w:before="0" w:afterAutospacing="1"/>
        <w:contextualSpacing/>
        <w:rPr>
          <w:b/>
        </w:rPr>
      </w:pPr>
      <w:r>
        <w:rPr/>
        <w:t>Conselho Regional de Enfermagem Coren Alagoas/AL</w:t>
      </w:r>
    </w:p>
    <w:p>
      <w:pPr>
        <w:pStyle w:val="Normal"/>
        <w:spacing w:beforeAutospacing="1" w:afterAutospacing="1"/>
        <w:rPr>
          <w:b/>
        </w:rPr>
      </w:pPr>
      <w:r>
        <w:rPr>
          <w:b/>
        </w:rPr>
        <w:t xml:space="preserve"> </w:t>
      </w:r>
      <w:r>
        <w:rPr>
          <w:b/>
        </w:rPr>
        <w:t>Saco Plástico</w:t>
      </w:r>
    </w:p>
    <w:p>
      <w:pPr>
        <w:pStyle w:val="ListParagraph"/>
        <w:numPr>
          <w:ilvl w:val="0"/>
          <w:numId w:val="10"/>
        </w:numPr>
        <w:spacing w:beforeAutospacing="1" w:afterAutospacing="1"/>
        <w:contextualSpacing/>
        <w:rPr>
          <w:b/>
        </w:rPr>
      </w:pPr>
      <w:r>
        <w:rPr/>
        <w:t>Hospital das Clínicas FMUSP/SP</w:t>
      </w:r>
    </w:p>
    <w:p>
      <w:pPr>
        <w:pStyle w:val="Normal"/>
        <w:spacing w:beforeAutospacing="1" w:afterAutospacing="1"/>
        <w:rPr>
          <w:b/>
        </w:rPr>
      </w:pPr>
      <w:r>
        <w:rPr/>
        <w:drawing>
          <wp:inline distT="0" distB="0" distL="0" distR="0">
            <wp:extent cx="5939790" cy="1340485"/>
            <wp:effectExtent l="0" t="0" r="0" b="0"/>
            <wp:docPr id="1" name="Imagem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1" descr=""/>
                    <pic:cNvPicPr>
                      <a:picLocks noChangeAspect="1" noChangeArrowheads="1"/>
                    </pic:cNvPicPr>
                  </pic:nvPicPr>
                  <pic:blipFill>
                    <a:blip r:embed="rId8"/>
                    <a:stretch>
                      <a:fillRect/>
                    </a:stretch>
                  </pic:blipFill>
                  <pic:spPr bwMode="auto">
                    <a:xfrm>
                      <a:off x="0" y="0"/>
                      <a:ext cx="5939790" cy="1340485"/>
                    </a:xfrm>
                    <a:prstGeom prst="rect">
                      <a:avLst/>
                    </a:prstGeom>
                  </pic:spPr>
                </pic:pic>
              </a:graphicData>
            </a:graphic>
          </wp:inline>
        </w:drawing>
      </w:r>
    </w:p>
    <w:p>
      <w:pPr>
        <w:pStyle w:val="Normal"/>
        <w:spacing w:beforeAutospacing="1" w:afterAutospacing="1"/>
        <w:rPr/>
      </w:pPr>
      <w:r>
        <w:rPr/>
        <w:t>Da mesma forma, foi calculada a média aritmética dos valores unitários praticados, conforme demonstrado na respectiva planilha comparativa.</w:t>
      </w:r>
    </w:p>
    <w:p>
      <w:pPr>
        <w:pStyle w:val="Normal"/>
        <w:spacing w:beforeAutospacing="1" w:afterAutospacing="1"/>
        <w:rPr/>
      </w:pPr>
      <w:r>
        <w:rPr/>
        <w:t>A estimativa final do valor da contratação considerou a análise conjunta das médias apuradas nas pesquisas, adotando-se como referência valores compatíveis com o mercado local e regional, de modo a assegurar economicidade, razoabilidade e viabilidade da futura contratação, sem prejuízo da competitividade do certame.</w:t>
      </w:r>
    </w:p>
    <w:p>
      <w:pPr>
        <w:pStyle w:val="Normal"/>
        <w:spacing w:beforeAutospacing="1" w:afterAutospacing="1"/>
        <w:rPr/>
      </w:pPr>
      <w:r>
        <w:rPr/>
        <w:t>As memórias de cálculo, planilhas comparativas e demais documentos que subsidiaram a estimativa encontram-se devidamente formalizados e anexados ao processo administrativo, atendendo ao disposto no inciso VI do art. 9º da Instrução Normativa SEGES nº 58/2022.</w:t>
      </w:r>
    </w:p>
    <w:p>
      <w:pPr>
        <w:pStyle w:val="Normal"/>
        <w:ind w:right="-2" w:hanging="0"/>
        <w:jc w:val="both"/>
        <w:rPr/>
      </w:pPr>
      <w:r>
        <w:rPr/>
        <w:t>A definição dos quantitativos estimados para a presente contratação foi realizada com base no histórico de consumo do exercício anterior, na análise das necessidades operacionais descritas neste Estudo Técnico Preliminar e no planejamento das atividades das Secretarias demandantes para o período de vigência contratual, observando-se os princípios da razoabilidade, eficiência, economicidade e continuidade do serviço público.</w:t>
      </w:r>
    </w:p>
    <w:p>
      <w:pPr>
        <w:pStyle w:val="Normal"/>
        <w:ind w:right="-2" w:hanging="0"/>
        <w:jc w:val="both"/>
        <w:rPr>
          <w:color w:val="FF0000"/>
        </w:rPr>
      </w:pPr>
      <w:r>
        <w:rPr>
          <w:color w:val="FF0000"/>
        </w:rPr>
      </w:r>
    </w:p>
    <w:p>
      <w:pPr>
        <w:pStyle w:val="Normal"/>
        <w:ind w:right="-2" w:hanging="0"/>
        <w:jc w:val="both"/>
        <w:rPr/>
      </w:pPr>
      <w:r>
        <w:rPr/>
        <w:t>No exercício anterior, o Município realizou processo licitatório para o fornecimento de 45.000 kits de lanches, destinados a Secretaria de Saúde do Município, para a população que se desloca em detrimento de tratamento de saúde para a região.</w:t>
      </w:r>
    </w:p>
    <w:p>
      <w:pPr>
        <w:pStyle w:val="Normal"/>
        <w:ind w:right="-2" w:hanging="0"/>
        <w:jc w:val="both"/>
        <w:rPr>
          <w:color w:val="FF0000"/>
        </w:rPr>
      </w:pPr>
      <w:r>
        <w:rPr>
          <w:color w:val="FF0000"/>
        </w:rPr>
      </w:r>
    </w:p>
    <w:p>
      <w:pPr>
        <w:pStyle w:val="Normal"/>
        <w:ind w:right="-2" w:hanging="0"/>
        <w:jc w:val="both"/>
        <w:rPr/>
      </w:pPr>
      <w:r>
        <w:rPr/>
        <w:t xml:space="preserve">Para o exercício atual, considerando o diagnóstico apresentado neste Estudo Técnico Preliminar, verifica-se a manutenção da necessidade de fornecimento de kits de lanches, em razão da continuidade das atividades </w:t>
      </w:r>
      <w:r>
        <w:rPr>
          <w:sz w:val="22"/>
          <w:szCs w:val="22"/>
        </w:rPr>
        <w:t>socioassistenciais</w:t>
      </w:r>
      <w:r>
        <w:rPr/>
        <w:t xml:space="preserve"> desenvolvidas pela Secretaria Municipal de Assistência Social, especialmente ações internas, atendimentos coletivos, oficinas, campanhas, demais atividades que demandam permanência prolongada de equipes técnicas e participantes. Todavia, com base na análise do consumo efetivo observado no período anterior e no planejamento das ações previstas para o exercício corrente, procedeu-se ao ajuste do quantitativo estimado, buscando maior aderência à demanda real, evitando desperdícios e assegurando o uso eficiente dos recursos públicos.</w:t>
      </w:r>
    </w:p>
    <w:p>
      <w:pPr>
        <w:pStyle w:val="Normal"/>
        <w:ind w:right="-2" w:hanging="0"/>
        <w:jc w:val="both"/>
        <w:rPr/>
      </w:pPr>
      <w:r>
        <w:rPr/>
      </w:r>
    </w:p>
    <w:p>
      <w:pPr>
        <w:pStyle w:val="Normal"/>
        <w:ind w:right="-2" w:hanging="0"/>
        <w:jc w:val="both"/>
        <w:rPr/>
      </w:pPr>
      <w:r>
        <w:rPr/>
        <w:t>Os kits de lanches atenderão, conforme descrito neste Estudo Técnico Preliminar, às necessidades das unidades e serviços vinculados à Política Municipal de Assistência Social, dentre os quais destacam-se:</w:t>
      </w:r>
    </w:p>
    <w:p>
      <w:pPr>
        <w:pStyle w:val="Normal"/>
        <w:ind w:right="-2" w:hanging="0"/>
        <w:jc w:val="both"/>
        <w:rPr/>
      </w:pPr>
      <w:r>
        <w:rPr/>
      </w:r>
    </w:p>
    <w:p>
      <w:pPr>
        <w:pStyle w:val="Normal"/>
        <w:ind w:right="-2" w:hanging="0"/>
        <w:jc w:val="both"/>
        <w:rPr/>
      </w:pPr>
      <w:r>
        <w:rPr/>
        <w:t xml:space="preserve">Centro de Referência de Assistência Social (CRAS), considerando a realização de grupos socioeducativos, oficinas com famílias e usuários, ações comunitárias, campanhas </w:t>
      </w:r>
      <w:r>
        <w:rPr>
          <w:sz w:val="22"/>
          <w:szCs w:val="22"/>
        </w:rPr>
        <w:t>socioassistenciais</w:t>
      </w:r>
      <w:r>
        <w:rPr/>
        <w:t xml:space="preserve"> e atendimentos coletivos que exigem acolhimento adequado dos participantes;</w:t>
      </w:r>
    </w:p>
    <w:p>
      <w:pPr>
        <w:pStyle w:val="Normal"/>
        <w:ind w:right="-2" w:hanging="0"/>
        <w:jc w:val="both"/>
        <w:rPr/>
      </w:pPr>
      <w:r>
        <w:rPr/>
      </w:r>
    </w:p>
    <w:p>
      <w:pPr>
        <w:pStyle w:val="Normal"/>
        <w:ind w:right="-2" w:hanging="0"/>
        <w:jc w:val="both"/>
        <w:rPr/>
      </w:pPr>
      <w:r>
        <w:rPr/>
        <w:t>Centro de Referência Especializado de Assistência Social (CREAS) e demais serviços de média complexidade, em razão de atividades técnicas, encontros com famílias acompanhadas e ações externas voltadas à garantia de direitos e fortalecimento de vínculos;</w:t>
      </w:r>
    </w:p>
    <w:p>
      <w:pPr>
        <w:pStyle w:val="Normal"/>
        <w:ind w:right="-2" w:hanging="0"/>
        <w:jc w:val="both"/>
        <w:rPr/>
      </w:pPr>
      <w:r>
        <w:rPr/>
      </w:r>
    </w:p>
    <w:p>
      <w:pPr>
        <w:pStyle w:val="Normal"/>
        <w:ind w:right="-2" w:hanging="0"/>
        <w:jc w:val="both"/>
        <w:rPr/>
      </w:pPr>
      <w:r>
        <w:rPr/>
        <w:t xml:space="preserve">A previsão de contratação dos kits de lanches busca assegurar planejamento prévio das ações </w:t>
      </w:r>
      <w:r>
        <w:rPr>
          <w:sz w:val="22"/>
          <w:szCs w:val="22"/>
        </w:rPr>
        <w:t>socioassistenciais</w:t>
      </w:r>
      <w:r>
        <w:rPr/>
        <w:t>, padronização do atendimento ofertado aos usuários e servidores envolvidos, bem como maior controle sobre os custos públicos, evitando aquisições fragmentadas, contratações emergenciais ou soluções improvisadas que possam comprometer a economicidade e a eficiência administrativa.</w:t>
      </w:r>
    </w:p>
    <w:p>
      <w:pPr>
        <w:pStyle w:val="Normal"/>
        <w:ind w:right="-2" w:hanging="0"/>
        <w:jc w:val="both"/>
        <w:rPr/>
      </w:pPr>
      <w:r>
        <w:rPr/>
      </w:r>
    </w:p>
    <w:p>
      <w:pPr>
        <w:pStyle w:val="Normal"/>
        <w:ind w:right="-2" w:hanging="0"/>
        <w:jc w:val="both"/>
        <w:rPr>
          <w:color w:val="FF0000"/>
        </w:rPr>
      </w:pPr>
      <w:r>
        <w:rPr/>
        <w:t>Dessa forma, o quantitativo estimado foi definido com base em critérios técnicos, dados históricos de consumo, análise das demandas operacionais da Secretaria Municipal de Assistência Social e no planejamento anual das atividades, mostrando-se compatível com a realidade do Município e suficiente para atender às necessidades institucionais previstas, evitando tanto o subdimensionamento quanto a contratação excessiva, em consonância com a Lei nº 14.133/2021, o Decreto Municipal nº 3.537/2023 e as diretrizes da Instrução Normativa SEGES nº 58/2022.</w:t>
      </w:r>
    </w:p>
    <w:p>
      <w:pPr>
        <w:pStyle w:val="Normal"/>
        <w:ind w:right="-2" w:hanging="0"/>
        <w:jc w:val="both"/>
        <w:rPr>
          <w:color w:val="FF0000"/>
        </w:rPr>
      </w:pPr>
      <w:r>
        <w:rPr>
          <w:color w:val="FF0000"/>
        </w:rPr>
      </w:r>
    </w:p>
    <w:p>
      <w:pPr>
        <w:pStyle w:val="Normal"/>
        <w:ind w:right="-2" w:hanging="0"/>
        <w:jc w:val="both"/>
        <w:rPr>
          <w:b/>
          <w:bCs/>
          <w:i w:val="false"/>
          <w:i w:val="false"/>
          <w:iCs w:val="false"/>
          <w:u w:val="single"/>
        </w:rPr>
      </w:pPr>
      <w:r>
        <w:rPr>
          <w:b/>
          <w:bCs/>
          <w:i w:val="false"/>
          <w:iCs w:val="false"/>
          <w:u w:val="single"/>
        </w:rPr>
        <w:t>DISTRIBUIÇÃO DOS QUANTITATIVOS KITS LANCHES</w:t>
      </w:r>
    </w:p>
    <w:p>
      <w:pPr>
        <w:pStyle w:val="Normal"/>
        <w:ind w:right="-2" w:hanging="0"/>
        <w:jc w:val="both"/>
        <w:rPr>
          <w:color w:val="FF0000"/>
        </w:rPr>
      </w:pPr>
      <w:r>
        <w:rPr>
          <w:color w:val="FF0000"/>
        </w:rPr>
      </w:r>
    </w:p>
    <w:tbl>
      <w:tblPr>
        <w:tblW w:w="5000" w:type="pct"/>
        <w:jc w:val="left"/>
        <w:tblInd w:w="0" w:type="dxa"/>
        <w:tblLayout w:type="fixed"/>
        <w:tblCellMar>
          <w:top w:w="0" w:type="dxa"/>
          <w:left w:w="0" w:type="dxa"/>
          <w:bottom w:w="0" w:type="dxa"/>
          <w:right w:w="0" w:type="dxa"/>
        </w:tblCellMar>
      </w:tblPr>
      <w:tblGrid>
        <w:gridCol w:w="3118"/>
        <w:gridCol w:w="3118"/>
        <w:gridCol w:w="3118"/>
      </w:tblGrid>
      <w:tr>
        <w:trPr/>
        <w:tc>
          <w:tcPr>
            <w:tcW w:w="3118" w:type="dxa"/>
            <w:tcBorders/>
          </w:tcPr>
          <w:p>
            <w:pPr>
              <w:pStyle w:val="Contedodatabela"/>
              <w:widowControl w:val="false"/>
              <w:jc w:val="center"/>
              <w:rPr>
                <w:b/>
                <w:bCs/>
                <w:sz w:val="20"/>
                <w:szCs w:val="20"/>
              </w:rPr>
            </w:pPr>
            <w:r>
              <w:rPr>
                <w:b/>
                <w:bCs/>
                <w:sz w:val="20"/>
                <w:szCs w:val="20"/>
              </w:rPr>
              <w:t>DESTINAÇÃO</w:t>
            </w:r>
          </w:p>
        </w:tc>
        <w:tc>
          <w:tcPr>
            <w:tcW w:w="3118" w:type="dxa"/>
            <w:tcBorders/>
          </w:tcPr>
          <w:p>
            <w:pPr>
              <w:pStyle w:val="Contedodatabela"/>
              <w:widowControl w:val="false"/>
              <w:jc w:val="center"/>
              <w:rPr>
                <w:b/>
                <w:bCs/>
                <w:sz w:val="20"/>
                <w:szCs w:val="20"/>
              </w:rPr>
            </w:pPr>
            <w:r>
              <w:rPr>
                <w:b/>
                <w:bCs/>
                <w:sz w:val="20"/>
                <w:szCs w:val="20"/>
              </w:rPr>
              <w:t>QUANTIA MENSAL</w:t>
            </w:r>
          </w:p>
        </w:tc>
        <w:tc>
          <w:tcPr>
            <w:tcW w:w="3118" w:type="dxa"/>
            <w:tcBorders/>
          </w:tcPr>
          <w:p>
            <w:pPr>
              <w:pStyle w:val="Contedodatabela"/>
              <w:widowControl w:val="false"/>
              <w:jc w:val="center"/>
              <w:rPr>
                <w:b/>
                <w:bCs/>
                <w:sz w:val="20"/>
                <w:szCs w:val="20"/>
              </w:rPr>
            </w:pPr>
            <w:r>
              <w:rPr>
                <w:b/>
                <w:bCs/>
                <w:sz w:val="20"/>
                <w:szCs w:val="20"/>
              </w:rPr>
              <w:t>QUANTIA MÉDIA ANUAL</w:t>
            </w:r>
          </w:p>
        </w:tc>
      </w:tr>
      <w:tr>
        <w:trPr/>
        <w:tc>
          <w:tcPr>
            <w:tcW w:w="3118" w:type="dxa"/>
            <w:tcBorders/>
          </w:tcPr>
          <w:p>
            <w:pPr>
              <w:pStyle w:val="Contedodatabela"/>
              <w:widowControl w:val="false"/>
              <w:jc w:val="center"/>
              <w:rPr>
                <w:sz w:val="20"/>
                <w:szCs w:val="20"/>
              </w:rPr>
            </w:pPr>
            <w:r>
              <w:rPr>
                <w:sz w:val="20"/>
                <w:szCs w:val="20"/>
              </w:rPr>
              <w:t>OFICINAS CRAS</w:t>
            </w:r>
          </w:p>
        </w:tc>
        <w:tc>
          <w:tcPr>
            <w:tcW w:w="3118" w:type="dxa"/>
            <w:tcBorders/>
          </w:tcPr>
          <w:p>
            <w:pPr>
              <w:pStyle w:val="Contedodatabela"/>
              <w:widowControl w:val="false"/>
              <w:jc w:val="center"/>
              <w:rPr>
                <w:sz w:val="20"/>
                <w:szCs w:val="20"/>
              </w:rPr>
            </w:pPr>
            <w:r>
              <w:rPr>
                <w:sz w:val="20"/>
                <w:szCs w:val="20"/>
              </w:rPr>
              <w:t>1.640</w:t>
            </w:r>
          </w:p>
        </w:tc>
        <w:tc>
          <w:tcPr>
            <w:tcW w:w="3118" w:type="dxa"/>
            <w:tcBorders/>
          </w:tcPr>
          <w:p>
            <w:pPr>
              <w:pStyle w:val="Contedodatabela"/>
              <w:widowControl w:val="false"/>
              <w:jc w:val="center"/>
              <w:rPr>
                <w:sz w:val="20"/>
                <w:szCs w:val="20"/>
              </w:rPr>
            </w:pPr>
            <w:r>
              <w:rPr>
                <w:sz w:val="20"/>
                <w:szCs w:val="20"/>
              </w:rPr>
              <w:t>19.680</w:t>
            </w:r>
          </w:p>
        </w:tc>
      </w:tr>
      <w:tr>
        <w:trPr/>
        <w:tc>
          <w:tcPr>
            <w:tcW w:w="3118" w:type="dxa"/>
            <w:tcBorders/>
          </w:tcPr>
          <w:p>
            <w:pPr>
              <w:pStyle w:val="Contedodatabela"/>
              <w:widowControl w:val="false"/>
              <w:jc w:val="center"/>
              <w:rPr>
                <w:sz w:val="20"/>
                <w:szCs w:val="20"/>
              </w:rPr>
            </w:pPr>
            <w:r>
              <w:rPr>
                <w:sz w:val="20"/>
                <w:szCs w:val="20"/>
              </w:rPr>
              <w:t>CURSOS SENAC</w:t>
            </w:r>
          </w:p>
        </w:tc>
        <w:tc>
          <w:tcPr>
            <w:tcW w:w="3118" w:type="dxa"/>
            <w:tcBorders/>
          </w:tcPr>
          <w:p>
            <w:pPr>
              <w:pStyle w:val="Contedodatabela"/>
              <w:widowControl w:val="false"/>
              <w:jc w:val="center"/>
              <w:rPr>
                <w:sz w:val="20"/>
                <w:szCs w:val="20"/>
              </w:rPr>
            </w:pPr>
            <w:r>
              <w:rPr>
                <w:sz w:val="20"/>
                <w:szCs w:val="20"/>
              </w:rPr>
              <w:t>2.355</w:t>
            </w:r>
          </w:p>
        </w:tc>
        <w:tc>
          <w:tcPr>
            <w:tcW w:w="3118" w:type="dxa"/>
            <w:tcBorders/>
          </w:tcPr>
          <w:p>
            <w:pPr>
              <w:pStyle w:val="Contedodatabela"/>
              <w:widowControl w:val="false"/>
              <w:jc w:val="center"/>
              <w:rPr>
                <w:sz w:val="20"/>
                <w:szCs w:val="20"/>
              </w:rPr>
            </w:pPr>
            <w:r>
              <w:rPr>
                <w:sz w:val="20"/>
                <w:szCs w:val="20"/>
              </w:rPr>
              <w:t>2.355</w:t>
            </w:r>
          </w:p>
        </w:tc>
      </w:tr>
      <w:tr>
        <w:trPr/>
        <w:tc>
          <w:tcPr>
            <w:tcW w:w="3118" w:type="dxa"/>
            <w:tcBorders/>
          </w:tcPr>
          <w:p>
            <w:pPr>
              <w:pStyle w:val="Contedodatabela"/>
              <w:widowControl w:val="false"/>
              <w:jc w:val="center"/>
              <w:rPr>
                <w:sz w:val="20"/>
                <w:szCs w:val="20"/>
              </w:rPr>
            </w:pPr>
            <w:r>
              <w:rPr>
                <w:sz w:val="20"/>
                <w:szCs w:val="20"/>
              </w:rPr>
              <w:t>LAZER BINGO IDOSOS</w:t>
            </w:r>
          </w:p>
        </w:tc>
        <w:tc>
          <w:tcPr>
            <w:tcW w:w="3118" w:type="dxa"/>
            <w:tcBorders/>
          </w:tcPr>
          <w:p>
            <w:pPr>
              <w:pStyle w:val="Contedodatabela"/>
              <w:widowControl w:val="false"/>
              <w:jc w:val="center"/>
              <w:rPr>
                <w:sz w:val="20"/>
                <w:szCs w:val="20"/>
              </w:rPr>
            </w:pPr>
            <w:r>
              <w:rPr>
                <w:sz w:val="20"/>
                <w:szCs w:val="20"/>
              </w:rPr>
              <w:t>240</w:t>
            </w:r>
          </w:p>
        </w:tc>
        <w:tc>
          <w:tcPr>
            <w:tcW w:w="3118" w:type="dxa"/>
            <w:tcBorders/>
          </w:tcPr>
          <w:p>
            <w:pPr>
              <w:pStyle w:val="Contedodatabela"/>
              <w:widowControl w:val="false"/>
              <w:jc w:val="center"/>
              <w:rPr>
                <w:sz w:val="20"/>
                <w:szCs w:val="20"/>
              </w:rPr>
            </w:pPr>
            <w:r>
              <w:rPr>
                <w:sz w:val="20"/>
                <w:szCs w:val="20"/>
              </w:rPr>
              <w:t>2.880</w:t>
            </w:r>
          </w:p>
        </w:tc>
      </w:tr>
      <w:tr>
        <w:trPr/>
        <w:tc>
          <w:tcPr>
            <w:tcW w:w="3118" w:type="dxa"/>
            <w:tcBorders/>
          </w:tcPr>
          <w:p>
            <w:pPr>
              <w:pStyle w:val="Contedodatabela"/>
              <w:widowControl w:val="false"/>
              <w:jc w:val="center"/>
              <w:rPr>
                <w:sz w:val="20"/>
                <w:szCs w:val="20"/>
              </w:rPr>
            </w:pPr>
            <w:r>
              <w:rPr>
                <w:sz w:val="20"/>
                <w:szCs w:val="20"/>
              </w:rPr>
              <w:t>ENCONTRO MULHERES VÍTIMAS VIOLENCIA DOMÉSTICA</w:t>
            </w:r>
          </w:p>
        </w:tc>
        <w:tc>
          <w:tcPr>
            <w:tcW w:w="3118" w:type="dxa"/>
            <w:tcBorders/>
          </w:tcPr>
          <w:p>
            <w:pPr>
              <w:pStyle w:val="Contedodatabela"/>
              <w:widowControl w:val="false"/>
              <w:jc w:val="center"/>
              <w:rPr>
                <w:sz w:val="20"/>
                <w:szCs w:val="20"/>
              </w:rPr>
            </w:pPr>
            <w:r>
              <w:rPr>
                <w:sz w:val="20"/>
                <w:szCs w:val="20"/>
              </w:rPr>
              <w:t>120</w:t>
            </w:r>
          </w:p>
        </w:tc>
        <w:tc>
          <w:tcPr>
            <w:tcW w:w="3118" w:type="dxa"/>
            <w:tcBorders/>
          </w:tcPr>
          <w:p>
            <w:pPr>
              <w:pStyle w:val="Contedodatabela"/>
              <w:widowControl w:val="false"/>
              <w:jc w:val="center"/>
              <w:rPr>
                <w:sz w:val="20"/>
                <w:szCs w:val="20"/>
              </w:rPr>
            </w:pPr>
            <w:r>
              <w:rPr>
                <w:sz w:val="20"/>
                <w:szCs w:val="20"/>
              </w:rPr>
              <w:t>1.200</w:t>
            </w:r>
          </w:p>
        </w:tc>
      </w:tr>
      <w:tr>
        <w:trPr/>
        <w:tc>
          <w:tcPr>
            <w:tcW w:w="3118" w:type="dxa"/>
            <w:tcBorders/>
          </w:tcPr>
          <w:p>
            <w:pPr>
              <w:pStyle w:val="Contedodatabela"/>
              <w:widowControl w:val="false"/>
              <w:jc w:val="center"/>
              <w:rPr>
                <w:sz w:val="20"/>
                <w:szCs w:val="20"/>
              </w:rPr>
            </w:pPr>
            <w:r>
              <w:rPr>
                <w:sz w:val="20"/>
                <w:szCs w:val="20"/>
              </w:rPr>
              <w:t>PAIF</w:t>
            </w:r>
          </w:p>
        </w:tc>
        <w:tc>
          <w:tcPr>
            <w:tcW w:w="3118" w:type="dxa"/>
            <w:tcBorders/>
          </w:tcPr>
          <w:p>
            <w:pPr>
              <w:pStyle w:val="Contedodatabela"/>
              <w:widowControl w:val="false"/>
              <w:jc w:val="center"/>
              <w:rPr>
                <w:sz w:val="20"/>
                <w:szCs w:val="20"/>
              </w:rPr>
            </w:pPr>
            <w:r>
              <w:rPr>
                <w:sz w:val="20"/>
                <w:szCs w:val="20"/>
              </w:rPr>
              <w:t>88</w:t>
            </w:r>
          </w:p>
        </w:tc>
        <w:tc>
          <w:tcPr>
            <w:tcW w:w="3118" w:type="dxa"/>
            <w:tcBorders/>
          </w:tcPr>
          <w:p>
            <w:pPr>
              <w:pStyle w:val="Contedodatabela"/>
              <w:widowControl w:val="false"/>
              <w:jc w:val="center"/>
              <w:rPr>
                <w:sz w:val="20"/>
                <w:szCs w:val="20"/>
              </w:rPr>
            </w:pPr>
            <w:r>
              <w:rPr>
                <w:sz w:val="20"/>
                <w:szCs w:val="20"/>
              </w:rPr>
              <w:t>1.056</w:t>
            </w:r>
          </w:p>
        </w:tc>
      </w:tr>
      <w:tr>
        <w:trPr/>
        <w:tc>
          <w:tcPr>
            <w:tcW w:w="3118" w:type="dxa"/>
            <w:tcBorders/>
          </w:tcPr>
          <w:p>
            <w:pPr>
              <w:pStyle w:val="Contedodatabela"/>
              <w:widowControl w:val="false"/>
              <w:jc w:val="center"/>
              <w:rPr>
                <w:sz w:val="20"/>
                <w:szCs w:val="20"/>
              </w:rPr>
            </w:pPr>
            <w:r>
              <w:rPr>
                <w:sz w:val="20"/>
                <w:szCs w:val="20"/>
              </w:rPr>
            </w:r>
          </w:p>
        </w:tc>
        <w:tc>
          <w:tcPr>
            <w:tcW w:w="3118" w:type="dxa"/>
            <w:tcBorders/>
          </w:tcPr>
          <w:p>
            <w:pPr>
              <w:pStyle w:val="Contedodatabela"/>
              <w:widowControl w:val="false"/>
              <w:jc w:val="center"/>
              <w:rPr>
                <w:b/>
                <w:bCs/>
                <w:sz w:val="20"/>
                <w:szCs w:val="20"/>
              </w:rPr>
            </w:pPr>
            <w:r>
              <w:rPr>
                <w:b/>
                <w:bCs/>
                <w:sz w:val="20"/>
                <w:szCs w:val="20"/>
              </w:rPr>
            </w:r>
          </w:p>
        </w:tc>
        <w:tc>
          <w:tcPr>
            <w:tcW w:w="3118" w:type="dxa"/>
            <w:tcBorders/>
          </w:tcPr>
          <w:p>
            <w:pPr>
              <w:pStyle w:val="Contedodatabela"/>
              <w:widowControl w:val="false"/>
              <w:jc w:val="center"/>
              <w:rPr>
                <w:b/>
                <w:bCs/>
                <w:sz w:val="20"/>
                <w:szCs w:val="20"/>
              </w:rPr>
            </w:pPr>
            <w:r>
              <w:rPr>
                <w:b/>
                <w:bCs/>
                <w:sz w:val="20"/>
                <w:szCs w:val="20"/>
              </w:rPr>
              <w:t>TOTAL =  27.171</w:t>
            </w:r>
          </w:p>
        </w:tc>
      </w:tr>
    </w:tbl>
    <w:p>
      <w:pPr>
        <w:pStyle w:val="Normal"/>
        <w:ind w:right="-2" w:hanging="0"/>
        <w:jc w:val="both"/>
        <w:rPr>
          <w:color w:val="FF0000"/>
        </w:rPr>
      </w:pPr>
      <w:r>
        <w:rPr>
          <w:color w:val="FF0000"/>
        </w:rPr>
      </w:r>
    </w:p>
    <w:p>
      <w:pPr>
        <w:pStyle w:val="Normal"/>
        <w:ind w:right="-2" w:hanging="0"/>
        <w:jc w:val="both"/>
        <w:rPr>
          <w:color w:val="FF0000"/>
        </w:rPr>
      </w:pPr>
      <w:r>
        <w:rPr>
          <w:color w:val="FF0000"/>
        </w:rPr>
      </w:r>
    </w:p>
    <w:p>
      <w:pPr>
        <w:pStyle w:val="Normal"/>
        <w:ind w:right="-2" w:hanging="0"/>
        <w:jc w:val="both"/>
        <w:rPr>
          <w:color w:val="000000"/>
        </w:rPr>
      </w:pPr>
      <w:r>
        <w:rPr>
          <w:color w:val="000000"/>
        </w:rPr>
        <w:t>Justificativa: No item Cursos Senac, o valor de quantia mensal se repete em quantia anual, considerando que conforme tabela anexada em tópico “Descrição do problema a ser resolvido”, os mencionados cursos são através de grade de carga horária total. Portanto, finalizando a grade em um mês, não há disponibilização de serviço ao longo dos outros meses, apenas no período de composição da carga horária completa.</w:t>
      </w:r>
    </w:p>
    <w:p>
      <w:pPr>
        <w:pStyle w:val="Normal"/>
        <w:ind w:right="-2" w:hanging="0"/>
        <w:jc w:val="both"/>
        <w:rPr>
          <w:color w:val="FF0000"/>
        </w:rPr>
      </w:pPr>
      <w:r>
        <w:rPr>
          <w:color w:val="FF0000"/>
        </w:rPr>
      </w:r>
    </w:p>
    <w:p>
      <w:pPr>
        <w:pStyle w:val="Normal"/>
        <w:ind w:right="-2" w:hanging="0"/>
        <w:jc w:val="both"/>
        <w:rPr>
          <w:color w:val="000000"/>
        </w:rPr>
      </w:pPr>
      <w:r>
        <w:rPr>
          <w:color w:val="000000"/>
        </w:rPr>
        <w:t xml:space="preserve">O fornecimento ocorrerá de forma parcelada, conforme a necessidade da Secretaria Municipal de Assistência Social, mediante emissão de Autorização de Fornecimento. </w:t>
        <w:br/>
        <w:t>Estima-se, para fins de planejamento administrativo, uma média aproximada de distribuição mensal de kits utilizando como base os quantitativos descritos na tabela acima, podendo variar conforme o calendário de atividades socioassistenciais, oficinas, cursos e encontros promovidos pela Secretaria.</w:t>
      </w:r>
    </w:p>
    <w:p>
      <w:pPr>
        <w:pStyle w:val="Normal"/>
        <w:ind w:right="-2" w:hanging="0"/>
        <w:jc w:val="both"/>
        <w:rPr>
          <w:color w:val="FF0000"/>
        </w:rPr>
      </w:pPr>
      <w:r>
        <w:rPr>
          <w:color w:val="FF0000"/>
        </w:rPr>
      </w:r>
    </w:p>
    <w:p>
      <w:pPr>
        <w:pStyle w:val="Normal"/>
        <w:ind w:right="-2" w:hanging="0"/>
        <w:jc w:val="both"/>
        <w:rPr>
          <w:color w:val="FF0000"/>
        </w:rPr>
      </w:pPr>
      <w:r>
        <w:rPr>
          <w:color w:val="FF0000"/>
        </w:rPr>
      </w:r>
    </w:p>
    <w:p>
      <w:pPr>
        <w:pStyle w:val="Normal"/>
        <w:ind w:right="-2" w:hanging="0"/>
        <w:jc w:val="both"/>
        <w:rPr>
          <w:color w:val="FF0000"/>
        </w:rPr>
      </w:pPr>
      <w:r>
        <w:rPr>
          <w:color w:val="FF0000"/>
        </w:rPr>
      </w:r>
    </w:p>
    <w:p>
      <w:pPr>
        <w:pStyle w:val="Normal"/>
        <w:ind w:right="-2" w:hanging="0"/>
        <w:jc w:val="both"/>
        <w:rPr>
          <w:color w:val="FF0000"/>
        </w:rPr>
      </w:pPr>
      <w:r>
        <w:rPr>
          <w:color w:val="FF0000"/>
        </w:rPr>
      </w:r>
    </w:p>
    <w:tbl>
      <w:tblPr>
        <w:tblW w:w="9694"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725"/>
        <w:gridCol w:w="637"/>
        <w:gridCol w:w="3572"/>
        <w:gridCol w:w="1117"/>
        <w:gridCol w:w="935"/>
        <w:gridCol w:w="1092"/>
        <w:gridCol w:w="1615"/>
      </w:tblGrid>
      <w:tr>
        <w:trPr>
          <w:trHeight w:val="934" w:hRule="atLeast"/>
        </w:trPr>
        <w:tc>
          <w:tcPr>
            <w:tcW w:w="725" w:type="dxa"/>
            <w:tcBorders>
              <w:top w:val="single" w:sz="4" w:space="0" w:color="000000"/>
              <w:left w:val="single" w:sz="4" w:space="0" w:color="000000"/>
              <w:bottom w:val="single" w:sz="4" w:space="0" w:color="000000"/>
              <w:right w:val="single" w:sz="4" w:space="0" w:color="000000"/>
            </w:tcBorders>
            <w:shd w:color="auto" w:fill="B4C6E7" w:val="clear"/>
            <w:vAlign w:val="center"/>
          </w:tcPr>
          <w:p>
            <w:pPr>
              <w:pStyle w:val="Normal"/>
              <w:widowControl w:val="false"/>
              <w:spacing w:lineRule="auto" w:line="276"/>
              <w:ind w:hanging="2"/>
              <w:jc w:val="center"/>
              <w:rPr>
                <w:rFonts w:eastAsia="Merriweather"/>
                <w:b/>
                <w:sz w:val="22"/>
                <w:szCs w:val="22"/>
              </w:rPr>
            </w:pPr>
            <w:r>
              <w:rPr>
                <w:rFonts w:eastAsia="Merriweather"/>
                <w:b/>
                <w:sz w:val="22"/>
                <w:szCs w:val="22"/>
              </w:rPr>
              <w:t>ITEM</w:t>
            </w:r>
          </w:p>
        </w:tc>
        <w:tc>
          <w:tcPr>
            <w:tcW w:w="637" w:type="dxa"/>
            <w:tcBorders>
              <w:top w:val="single" w:sz="4" w:space="0" w:color="000000"/>
              <w:left w:val="single" w:sz="4" w:space="0" w:color="000000"/>
              <w:bottom w:val="single" w:sz="4" w:space="0" w:color="000000"/>
              <w:right w:val="single" w:sz="4" w:space="0" w:color="000000"/>
            </w:tcBorders>
            <w:shd w:color="auto" w:fill="B4C6E7" w:val="clear"/>
            <w:vAlign w:val="center"/>
          </w:tcPr>
          <w:p>
            <w:pPr>
              <w:pStyle w:val="Normal"/>
              <w:widowControl w:val="false"/>
              <w:spacing w:lineRule="auto" w:line="276"/>
              <w:ind w:hanging="2"/>
              <w:jc w:val="center"/>
              <w:rPr>
                <w:rFonts w:eastAsia="Merriweather"/>
                <w:b/>
                <w:sz w:val="22"/>
                <w:szCs w:val="22"/>
              </w:rPr>
            </w:pPr>
            <w:r>
              <w:rPr>
                <w:rFonts w:eastAsia="Merriweather"/>
                <w:b/>
                <w:sz w:val="22"/>
                <w:szCs w:val="22"/>
              </w:rPr>
              <w:t>UND</w:t>
            </w:r>
          </w:p>
        </w:tc>
        <w:tc>
          <w:tcPr>
            <w:tcW w:w="3572" w:type="dxa"/>
            <w:tcBorders>
              <w:top w:val="single" w:sz="4" w:space="0" w:color="000000"/>
              <w:left w:val="single" w:sz="4" w:space="0" w:color="000000"/>
              <w:bottom w:val="single" w:sz="4" w:space="0" w:color="000000"/>
              <w:right w:val="single" w:sz="4" w:space="0" w:color="000000"/>
            </w:tcBorders>
            <w:shd w:color="auto" w:fill="B4C6E7" w:val="clear"/>
            <w:vAlign w:val="center"/>
          </w:tcPr>
          <w:p>
            <w:pPr>
              <w:pStyle w:val="Normal"/>
              <w:widowControl w:val="false"/>
              <w:spacing w:lineRule="auto" w:line="276"/>
              <w:ind w:hanging="2"/>
              <w:jc w:val="center"/>
              <w:rPr>
                <w:rFonts w:eastAsia="Merriweather"/>
                <w:b/>
                <w:sz w:val="22"/>
                <w:szCs w:val="22"/>
              </w:rPr>
            </w:pPr>
            <w:r>
              <w:rPr>
                <w:rFonts w:eastAsia="Merriweather"/>
                <w:b/>
                <w:sz w:val="22"/>
                <w:szCs w:val="22"/>
              </w:rPr>
              <w:t>DESCRITIVO</w:t>
            </w:r>
          </w:p>
        </w:tc>
        <w:tc>
          <w:tcPr>
            <w:tcW w:w="1117" w:type="dxa"/>
            <w:tcBorders>
              <w:top w:val="single" w:sz="4" w:space="0" w:color="000000"/>
              <w:left w:val="single" w:sz="4" w:space="0" w:color="000000"/>
              <w:bottom w:val="single" w:sz="4" w:space="0" w:color="000000"/>
              <w:right w:val="single" w:sz="4" w:space="0" w:color="000000"/>
            </w:tcBorders>
            <w:shd w:color="auto" w:fill="B4C6E7" w:val="clear"/>
          </w:tcPr>
          <w:p>
            <w:pPr>
              <w:pStyle w:val="Normal"/>
              <w:widowControl w:val="false"/>
              <w:spacing w:lineRule="auto" w:line="276"/>
              <w:ind w:hanging="2"/>
              <w:jc w:val="center"/>
              <w:rPr>
                <w:rFonts w:eastAsia="Merriweather"/>
                <w:b/>
                <w:sz w:val="22"/>
                <w:szCs w:val="22"/>
              </w:rPr>
            </w:pPr>
            <w:r>
              <w:rPr>
                <w:rFonts w:eastAsia="Merriweather"/>
                <w:b/>
                <w:sz w:val="22"/>
                <w:szCs w:val="22"/>
              </w:rPr>
            </w:r>
          </w:p>
          <w:p>
            <w:pPr>
              <w:pStyle w:val="Normal"/>
              <w:widowControl w:val="false"/>
              <w:spacing w:lineRule="auto" w:line="276"/>
              <w:jc w:val="center"/>
              <w:rPr>
                <w:rFonts w:eastAsia="Merriweather"/>
                <w:b/>
                <w:sz w:val="22"/>
                <w:szCs w:val="22"/>
              </w:rPr>
            </w:pPr>
            <w:r>
              <w:rPr>
                <w:rFonts w:eastAsia="Merriweather"/>
                <w:b/>
                <w:sz w:val="22"/>
                <w:szCs w:val="22"/>
              </w:rPr>
              <w:t>CÓDIGO</w:t>
            </w:r>
          </w:p>
          <w:p>
            <w:pPr>
              <w:pStyle w:val="Normal"/>
              <w:widowControl w:val="false"/>
              <w:spacing w:lineRule="auto" w:line="276"/>
              <w:jc w:val="center"/>
              <w:rPr>
                <w:rFonts w:eastAsia="Merriweather"/>
                <w:b/>
                <w:sz w:val="22"/>
                <w:szCs w:val="22"/>
              </w:rPr>
            </w:pPr>
            <w:r>
              <w:rPr>
                <w:rFonts w:eastAsia="Merriweather"/>
                <w:b/>
                <w:sz w:val="22"/>
                <w:szCs w:val="22"/>
              </w:rPr>
              <w:t>CATMAT</w:t>
            </w:r>
          </w:p>
        </w:tc>
        <w:tc>
          <w:tcPr>
            <w:tcW w:w="935" w:type="dxa"/>
            <w:tcBorders>
              <w:top w:val="single" w:sz="4" w:space="0" w:color="000000"/>
              <w:left w:val="single" w:sz="4" w:space="0" w:color="000000"/>
              <w:bottom w:val="single" w:sz="4" w:space="0" w:color="000000"/>
              <w:right w:val="single" w:sz="4" w:space="0" w:color="000000"/>
            </w:tcBorders>
            <w:shd w:color="auto" w:fill="B4C6E7" w:val="clear"/>
          </w:tcPr>
          <w:p>
            <w:pPr>
              <w:pStyle w:val="Normal"/>
              <w:widowControl w:val="false"/>
              <w:spacing w:lineRule="auto" w:line="276"/>
              <w:ind w:hanging="2"/>
              <w:jc w:val="center"/>
              <w:rPr>
                <w:rFonts w:eastAsia="Merriweather"/>
                <w:b/>
                <w:sz w:val="22"/>
                <w:szCs w:val="22"/>
              </w:rPr>
            </w:pPr>
            <w:r>
              <w:rPr>
                <w:rFonts w:eastAsia="Merriweather"/>
                <w:b/>
                <w:sz w:val="22"/>
                <w:szCs w:val="22"/>
              </w:rPr>
            </w:r>
          </w:p>
          <w:p>
            <w:pPr>
              <w:pStyle w:val="Normal"/>
              <w:widowControl w:val="false"/>
              <w:spacing w:lineRule="auto" w:line="276"/>
              <w:ind w:hanging="2"/>
              <w:jc w:val="center"/>
              <w:rPr>
                <w:rFonts w:eastAsia="Merriweather"/>
                <w:b/>
                <w:sz w:val="22"/>
                <w:szCs w:val="22"/>
              </w:rPr>
            </w:pPr>
            <w:r>
              <w:rPr>
                <w:rFonts w:eastAsia="Merriweather"/>
                <w:b/>
                <w:sz w:val="22"/>
                <w:szCs w:val="22"/>
              </w:rPr>
              <w:t>QTD</w:t>
            </w:r>
          </w:p>
        </w:tc>
        <w:tc>
          <w:tcPr>
            <w:tcW w:w="1092" w:type="dxa"/>
            <w:tcBorders>
              <w:top w:val="single" w:sz="4" w:space="0" w:color="000000"/>
              <w:left w:val="single" w:sz="4" w:space="0" w:color="000000"/>
              <w:bottom w:val="single" w:sz="4" w:space="0" w:color="000000"/>
              <w:right w:val="single" w:sz="4" w:space="0" w:color="000000"/>
            </w:tcBorders>
            <w:shd w:color="auto" w:fill="B4C6E7" w:val="clear"/>
            <w:vAlign w:val="center"/>
          </w:tcPr>
          <w:p>
            <w:pPr>
              <w:pStyle w:val="Normal"/>
              <w:widowControl w:val="false"/>
              <w:spacing w:lineRule="auto" w:line="276"/>
              <w:ind w:hanging="2"/>
              <w:jc w:val="center"/>
              <w:rPr>
                <w:rFonts w:eastAsia="Merriweather"/>
                <w:b/>
                <w:sz w:val="22"/>
                <w:szCs w:val="22"/>
              </w:rPr>
            </w:pPr>
            <w:r>
              <w:rPr>
                <w:rFonts w:eastAsia="Merriweather"/>
                <w:b/>
                <w:sz w:val="22"/>
                <w:szCs w:val="22"/>
              </w:rPr>
              <w:t>MÉDIA DAS CESTAS</w:t>
            </w:r>
          </w:p>
        </w:tc>
        <w:tc>
          <w:tcPr>
            <w:tcW w:w="1615" w:type="dxa"/>
            <w:tcBorders>
              <w:top w:val="single" w:sz="4" w:space="0" w:color="000000"/>
              <w:left w:val="single" w:sz="4" w:space="0" w:color="000000"/>
              <w:bottom w:val="single" w:sz="4" w:space="0" w:color="000000"/>
              <w:right w:val="single" w:sz="4" w:space="0" w:color="000000"/>
            </w:tcBorders>
            <w:shd w:color="auto" w:fill="B4C6E7" w:val="clear"/>
            <w:vAlign w:val="center"/>
          </w:tcPr>
          <w:p>
            <w:pPr>
              <w:pStyle w:val="Normal"/>
              <w:widowControl w:val="false"/>
              <w:spacing w:lineRule="auto" w:line="276"/>
              <w:ind w:hanging="2"/>
              <w:jc w:val="center"/>
              <w:rPr>
                <w:rFonts w:eastAsia="Merriweather"/>
                <w:b/>
                <w:sz w:val="22"/>
                <w:szCs w:val="22"/>
              </w:rPr>
            </w:pPr>
            <w:r>
              <w:rPr>
                <w:rFonts w:eastAsia="Merriweather"/>
                <w:b/>
                <w:sz w:val="22"/>
                <w:szCs w:val="22"/>
              </w:rPr>
              <w:t>VALOR TOTAL</w:t>
            </w:r>
          </w:p>
        </w:tc>
      </w:tr>
      <w:tr>
        <w:trPr>
          <w:trHeight w:val="340" w:hRule="atLeast"/>
        </w:trPr>
        <w:tc>
          <w:tcPr>
            <w:tcW w:w="7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ind w:hanging="2"/>
              <w:jc w:val="both"/>
              <w:rPr>
                <w:rFonts w:eastAsia="Merriweather"/>
                <w:sz w:val="18"/>
                <w:szCs w:val="16"/>
              </w:rPr>
            </w:pPr>
            <w:r>
              <w:rPr>
                <w:rFonts w:eastAsia="Merriweather"/>
                <w:sz w:val="18"/>
                <w:szCs w:val="16"/>
              </w:rPr>
              <w:t>01</w:t>
            </w:r>
          </w:p>
        </w:tc>
        <w:tc>
          <w:tcPr>
            <w:tcW w:w="637"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ind w:hanging="2"/>
              <w:jc w:val="both"/>
              <w:rPr>
                <w:rFonts w:eastAsia="Merriweather"/>
                <w:sz w:val="18"/>
                <w:szCs w:val="16"/>
              </w:rPr>
            </w:pPr>
            <w:r>
              <w:rPr>
                <w:rFonts w:eastAsia="Merriweather"/>
                <w:sz w:val="18"/>
                <w:szCs w:val="16"/>
              </w:rPr>
              <w:t>UND</w:t>
            </w:r>
          </w:p>
        </w:tc>
        <w:tc>
          <w:tcPr>
            <w:tcW w:w="35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hanging="2"/>
              <w:jc w:val="both"/>
              <w:rPr>
                <w:rFonts w:eastAsia="Merriweather"/>
                <w:b/>
                <w:sz w:val="18"/>
                <w:szCs w:val="16"/>
                <w:u w:val="single"/>
              </w:rPr>
            </w:pPr>
            <w:r>
              <w:rPr>
                <w:rFonts w:eastAsia="Merriweather"/>
                <w:b/>
                <w:sz w:val="18"/>
                <w:szCs w:val="16"/>
                <w:u w:val="single"/>
              </w:rPr>
              <w:t>Kit contendo:</w:t>
            </w:r>
          </w:p>
          <w:p>
            <w:pPr>
              <w:pStyle w:val="Normal"/>
              <w:widowControl w:val="false"/>
              <w:ind w:hanging="2"/>
              <w:rPr/>
            </w:pPr>
            <w:r>
              <w:rPr>
                <w:rFonts w:eastAsia="Merriweather"/>
                <w:b/>
                <w:sz w:val="18"/>
                <w:szCs w:val="16"/>
              </w:rPr>
              <w:t>2 Pacotes de bolinhos</w:t>
            </w:r>
            <w:r>
              <w:rPr>
                <w:rFonts w:eastAsia="Merriweather"/>
                <w:sz w:val="18"/>
                <w:szCs w:val="16"/>
              </w:rPr>
              <w:t>, diversos sabores (chocolate, coco, laranja ou baunilha), embalagem contendo no mínimo 40 gramas, produzido a partir de matérias primas sàs e limpas, isenta de matéria terrosa, parasitas, detritos de animais e vegetais e em perfeito estado de conservação. Aparência: massa bem assada, com recheio, sem cobertura. Não serão aceitos produtos murchos, mal assados, amassados ou queimados. Validade Mínima 03 meses.</w:t>
            </w:r>
          </w:p>
          <w:p>
            <w:pPr>
              <w:pStyle w:val="Normal"/>
              <w:widowControl w:val="false"/>
              <w:ind w:hanging="2"/>
              <w:rPr>
                <w:rFonts w:eastAsia="Merriweather"/>
                <w:sz w:val="18"/>
                <w:szCs w:val="16"/>
              </w:rPr>
            </w:pPr>
            <w:r>
              <w:rPr>
                <w:rFonts w:eastAsia="Merriweather"/>
                <w:sz w:val="18"/>
                <w:szCs w:val="16"/>
              </w:rPr>
            </w:r>
          </w:p>
          <w:p>
            <w:pPr>
              <w:pStyle w:val="Normal"/>
              <w:widowControl w:val="false"/>
              <w:ind w:hanging="2"/>
              <w:rPr/>
            </w:pPr>
            <w:r>
              <w:rPr>
                <w:rFonts w:eastAsia="Merriweather"/>
                <w:b/>
                <w:sz w:val="18"/>
                <w:szCs w:val="16"/>
              </w:rPr>
              <w:t>01 Suco sem corantes</w:t>
            </w:r>
            <w:r>
              <w:rPr>
                <w:rFonts w:eastAsia="Merriweather"/>
                <w:sz w:val="18"/>
                <w:szCs w:val="16"/>
              </w:rPr>
              <w:t>, fonte de vitaminas e nutrientes, acondicionado em embalagem Tetra Pak, diversos sabores (laranja, morango, uva e maracujá), embalagem contendo no mínimo 200 ml. Validade mínima 03 meses.</w:t>
            </w:r>
          </w:p>
          <w:p>
            <w:pPr>
              <w:pStyle w:val="Normal"/>
              <w:widowControl w:val="false"/>
              <w:ind w:hanging="2"/>
              <w:rPr>
                <w:rFonts w:eastAsia="Merriweather"/>
                <w:sz w:val="18"/>
                <w:szCs w:val="16"/>
              </w:rPr>
            </w:pPr>
            <w:r>
              <w:rPr>
                <w:rFonts w:eastAsia="Merriweather"/>
                <w:sz w:val="18"/>
                <w:szCs w:val="16"/>
              </w:rPr>
            </w:r>
          </w:p>
          <w:p>
            <w:pPr>
              <w:pStyle w:val="Normal"/>
              <w:widowControl w:val="false"/>
              <w:ind w:hanging="2"/>
              <w:rPr/>
            </w:pPr>
            <w:r>
              <w:rPr>
                <w:rFonts w:eastAsia="Merriweather"/>
                <w:b/>
                <w:sz w:val="18"/>
                <w:szCs w:val="16"/>
              </w:rPr>
              <w:t>01 Pacote de biscoito salgado</w:t>
            </w:r>
            <w:r>
              <w:rPr>
                <w:rFonts w:eastAsia="Merriweather"/>
                <w:sz w:val="18"/>
                <w:szCs w:val="16"/>
              </w:rPr>
              <w:t xml:space="preserve"> (não de polvilho), embalagem mínima de 140 gramas, produzido a partir de matérias primas</w:t>
            </w:r>
          </w:p>
          <w:p>
            <w:pPr>
              <w:pStyle w:val="Normal"/>
              <w:widowControl w:val="false"/>
              <w:ind w:hanging="2"/>
              <w:rPr>
                <w:rFonts w:eastAsia="Merriweather"/>
                <w:sz w:val="18"/>
                <w:szCs w:val="16"/>
              </w:rPr>
            </w:pPr>
            <w:r>
              <w:rPr>
                <w:rFonts w:eastAsia="Merriweather"/>
                <w:sz w:val="18"/>
                <w:szCs w:val="16"/>
              </w:rPr>
              <w:t>sãs e limpas, isenta de matéria terrosa, parasitas, detritos animais e vegetais e em perfeito estado de conservação. Aparência: massa bem assada, sem recheio, sem cobertura. Não serão</w:t>
            </w:r>
          </w:p>
          <w:p>
            <w:pPr>
              <w:pStyle w:val="Normal"/>
              <w:widowControl w:val="false"/>
              <w:ind w:hanging="2"/>
              <w:rPr>
                <w:rFonts w:eastAsia="Merriweather"/>
                <w:sz w:val="18"/>
                <w:szCs w:val="16"/>
              </w:rPr>
            </w:pPr>
            <w:r>
              <w:rPr>
                <w:rFonts w:eastAsia="Merriweather"/>
                <w:sz w:val="18"/>
                <w:szCs w:val="16"/>
              </w:rPr>
              <w:t>aceitos produtos murchos mal assados ou queimados. Validade mínima de 03 meses.</w:t>
            </w:r>
          </w:p>
          <w:p>
            <w:pPr>
              <w:pStyle w:val="Normal"/>
              <w:widowControl w:val="false"/>
              <w:ind w:hanging="2"/>
              <w:rPr>
                <w:rFonts w:eastAsia="Merriweather"/>
                <w:sz w:val="18"/>
                <w:szCs w:val="16"/>
              </w:rPr>
            </w:pPr>
            <w:r>
              <w:rPr>
                <w:rFonts w:eastAsia="Merriweather"/>
                <w:sz w:val="18"/>
                <w:szCs w:val="16"/>
              </w:rPr>
            </w:r>
          </w:p>
          <w:p>
            <w:pPr>
              <w:pStyle w:val="Normal"/>
              <w:widowControl w:val="false"/>
              <w:ind w:hanging="2"/>
              <w:rPr/>
            </w:pPr>
            <w:r>
              <w:rPr>
                <w:rFonts w:eastAsia="Merriweather"/>
                <w:b/>
                <w:sz w:val="18"/>
                <w:szCs w:val="16"/>
              </w:rPr>
              <w:t>01 Achocolatado Liquido</w:t>
            </w:r>
            <w:r>
              <w:rPr>
                <w:rFonts w:eastAsia="Merriweather"/>
                <w:sz w:val="18"/>
                <w:szCs w:val="16"/>
              </w:rPr>
              <w:t>. Embalagem mínima:</w:t>
            </w:r>
          </w:p>
          <w:p>
            <w:pPr>
              <w:pStyle w:val="Normal"/>
              <w:widowControl w:val="false"/>
              <w:ind w:hanging="2"/>
              <w:rPr>
                <w:rFonts w:eastAsia="Merriweather"/>
                <w:sz w:val="18"/>
                <w:szCs w:val="16"/>
              </w:rPr>
            </w:pPr>
            <w:r>
              <w:rPr>
                <w:rFonts w:eastAsia="Merriweather"/>
                <w:sz w:val="18"/>
                <w:szCs w:val="16"/>
              </w:rPr>
              <w:t>200 ML, enriquecido com vitaminas e minerais. Embalagem Tetra Pak. Validade Mínima de 03 meses.</w:t>
            </w:r>
          </w:p>
          <w:p>
            <w:pPr>
              <w:pStyle w:val="Normal"/>
              <w:widowControl w:val="false"/>
              <w:ind w:hanging="2"/>
              <w:rPr>
                <w:rFonts w:eastAsia="Merriweather"/>
                <w:sz w:val="18"/>
                <w:szCs w:val="16"/>
              </w:rPr>
            </w:pPr>
            <w:r>
              <w:rPr>
                <w:rFonts w:eastAsia="Merriweather"/>
                <w:sz w:val="18"/>
                <w:szCs w:val="16"/>
              </w:rPr>
            </w:r>
          </w:p>
          <w:p>
            <w:pPr>
              <w:pStyle w:val="Normal"/>
              <w:widowControl w:val="false"/>
              <w:ind w:hanging="2"/>
              <w:rPr/>
            </w:pPr>
            <w:r>
              <w:rPr>
                <w:rFonts w:eastAsia="Merriweather"/>
                <w:b/>
                <w:sz w:val="18"/>
                <w:szCs w:val="16"/>
              </w:rPr>
              <w:t>01 Saco plástico</w:t>
            </w:r>
            <w:r>
              <w:rPr>
                <w:rFonts w:eastAsia="Merriweather"/>
                <w:sz w:val="18"/>
                <w:szCs w:val="16"/>
              </w:rPr>
              <w:t>, tamanho aproximado: 30x40 cm (podendo haver variação de 10% para mais ou para menos) .</w:t>
            </w:r>
          </w:p>
          <w:p>
            <w:pPr>
              <w:pStyle w:val="Normal"/>
              <w:widowControl w:val="false"/>
              <w:ind w:hanging="2"/>
              <w:rPr>
                <w:rFonts w:eastAsia="Merriweather"/>
                <w:sz w:val="18"/>
                <w:szCs w:val="16"/>
              </w:rPr>
            </w:pPr>
            <w:r>
              <w:rPr>
                <w:rFonts w:eastAsia="Merriweather"/>
                <w:sz w:val="18"/>
                <w:szCs w:val="16"/>
              </w:rPr>
            </w:r>
          </w:p>
          <w:p>
            <w:pPr>
              <w:pStyle w:val="Normal"/>
              <w:widowControl w:val="false"/>
              <w:ind w:hanging="2"/>
              <w:rPr/>
            </w:pPr>
            <w:r>
              <w:rPr>
                <w:rFonts w:eastAsia="Merriweather"/>
                <w:b/>
                <w:sz w:val="18"/>
                <w:szCs w:val="16"/>
              </w:rPr>
              <w:t>01 Lacre Amarrilho</w:t>
            </w:r>
            <w:r>
              <w:rPr>
                <w:rFonts w:eastAsia="Merriweather"/>
                <w:sz w:val="18"/>
                <w:szCs w:val="16"/>
              </w:rPr>
              <w:t xml:space="preserve"> (arame encapado).</w:t>
            </w:r>
          </w:p>
          <w:p>
            <w:pPr>
              <w:pStyle w:val="Normal"/>
              <w:widowControl w:val="false"/>
              <w:ind w:hanging="2"/>
              <w:rPr>
                <w:rFonts w:eastAsia="Merriweather"/>
                <w:sz w:val="18"/>
                <w:szCs w:val="16"/>
              </w:rPr>
            </w:pPr>
            <w:r>
              <w:rPr>
                <w:rFonts w:eastAsia="Merriweather"/>
                <w:sz w:val="18"/>
                <w:szCs w:val="16"/>
              </w:rPr>
              <w:t>Obs: O kit deverá ser embalado pela empresa contratada.</w:t>
            </w:r>
          </w:p>
        </w:tc>
        <w:tc>
          <w:tcPr>
            <w:tcW w:w="11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ind w:hanging="2"/>
              <w:jc w:val="center"/>
              <w:rPr>
                <w:rFonts w:eastAsia="Merriweather"/>
                <w:sz w:val="22"/>
                <w:szCs w:val="22"/>
              </w:rPr>
            </w:pPr>
            <w:r>
              <w:rPr>
                <w:rFonts w:eastAsia="Merriweather"/>
                <w:sz w:val="22"/>
                <w:szCs w:val="22"/>
              </w:rPr>
              <w:t>266199</w:t>
            </w:r>
          </w:p>
        </w:tc>
        <w:tc>
          <w:tcPr>
            <w:tcW w:w="935" w:type="dxa"/>
            <w:tcBorders>
              <w:top w:val="single" w:sz="4" w:space="0" w:color="000000"/>
              <w:bottom w:val="single" w:sz="4" w:space="0" w:color="000000"/>
            </w:tcBorders>
            <w:shd w:color="auto" w:fill="auto" w:val="clear"/>
          </w:tcPr>
          <w:p>
            <w:pPr>
              <w:pStyle w:val="Normal"/>
              <w:widowControl w:val="false"/>
              <w:spacing w:lineRule="auto" w:line="276"/>
              <w:jc w:val="center"/>
              <w:rPr>
                <w:rFonts w:eastAsia="Merriweather"/>
                <w:sz w:val="22"/>
                <w:szCs w:val="22"/>
              </w:rPr>
            </w:pPr>
            <w:r>
              <w:rPr>
                <w:rFonts w:eastAsia="Merriweather"/>
                <w:sz w:val="22"/>
                <w:szCs w:val="22"/>
              </w:rPr>
              <w:t>27.171</w:t>
            </w:r>
          </w:p>
        </w:tc>
        <w:tc>
          <w:tcPr>
            <w:tcW w:w="10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eastAsia="Merriweather"/>
                <w:sz w:val="22"/>
                <w:szCs w:val="22"/>
              </w:rPr>
            </w:pPr>
            <w:r>
              <w:rPr>
                <w:rFonts w:eastAsia="Merriweather"/>
                <w:sz w:val="22"/>
                <w:szCs w:val="22"/>
              </w:rPr>
              <w:t>R$12,17</w:t>
            </w:r>
          </w:p>
        </w:tc>
        <w:tc>
          <w:tcPr>
            <w:tcW w:w="16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jc w:val="center"/>
              <w:rPr>
                <w:rFonts w:eastAsia="Merriweather"/>
                <w:sz w:val="22"/>
                <w:szCs w:val="22"/>
              </w:rPr>
            </w:pPr>
            <w:r>
              <w:rPr>
                <w:rFonts w:eastAsia="Merriweather"/>
                <w:sz w:val="22"/>
                <w:szCs w:val="22"/>
              </w:rPr>
              <w:t>R</w:t>
            </w:r>
            <w:bookmarkStart w:id="0" w:name="_GoBack"/>
            <w:bookmarkEnd w:id="0"/>
            <w:r>
              <w:rPr>
                <w:rFonts w:eastAsia="Merriweather"/>
                <w:sz w:val="22"/>
                <w:szCs w:val="22"/>
              </w:rPr>
              <w:t>$330.671,07</w:t>
            </w:r>
          </w:p>
        </w:tc>
      </w:tr>
      <w:tr>
        <w:trPr>
          <w:trHeight w:val="283" w:hRule="atLeast"/>
        </w:trPr>
        <w:tc>
          <w:tcPr>
            <w:tcW w:w="9693" w:type="dxa"/>
            <w:gridSpan w:val="7"/>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ind w:hanging="2"/>
              <w:jc w:val="center"/>
              <w:rPr>
                <w:rFonts w:eastAsia="Merriweather"/>
                <w:sz w:val="18"/>
                <w:szCs w:val="16"/>
              </w:rPr>
            </w:pPr>
            <w:r>
              <w:rPr>
                <w:rFonts w:eastAsia="Merriweather"/>
                <w:sz w:val="18"/>
                <w:szCs w:val="16"/>
              </w:rPr>
              <w:t>VALOR TOTAL R</w:t>
            </w:r>
            <w:r>
              <w:rPr>
                <w:rFonts w:eastAsia="Merriweather"/>
                <w:sz w:val="22"/>
                <w:szCs w:val="22"/>
              </w:rPr>
              <w:t>$330.671,07</w:t>
            </w:r>
            <w:r>
              <w:rPr>
                <w:rFonts w:eastAsia="Merriweather"/>
                <w:sz w:val="18"/>
                <w:szCs w:val="16"/>
              </w:rPr>
              <w:t xml:space="preserve"> (Trezentos e trinta mil, seiscentos e setenta e um reais e sete centavos)</w:t>
            </w:r>
          </w:p>
          <w:p>
            <w:pPr>
              <w:pStyle w:val="Normal"/>
              <w:widowControl w:val="false"/>
              <w:spacing w:lineRule="auto" w:line="276"/>
              <w:ind w:hanging="2"/>
              <w:jc w:val="center"/>
              <w:rPr>
                <w:rFonts w:eastAsia="Merriweather"/>
                <w:sz w:val="18"/>
                <w:szCs w:val="16"/>
              </w:rPr>
            </w:pPr>
            <w:r>
              <w:rPr>
                <w:rFonts w:eastAsia="Merriweather"/>
                <w:sz w:val="18"/>
                <w:szCs w:val="16"/>
              </w:rPr>
            </w:r>
          </w:p>
        </w:tc>
      </w:tr>
    </w:tbl>
    <w:tbl>
      <w:tblPr>
        <w:tblStyle w:val="Tabelacomgrade"/>
        <w:tblW w:w="9577"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9577"/>
      </w:tblGrid>
      <w:tr>
        <w:trPr/>
        <w:tc>
          <w:tcPr>
            <w:tcW w:w="9577" w:type="dxa"/>
            <w:tcBorders/>
          </w:tcPr>
          <w:p>
            <w:pPr>
              <w:pStyle w:val="ListParagraph"/>
              <w:widowControl w:val="false"/>
              <w:spacing w:before="0" w:after="0"/>
              <w:ind w:left="0" w:right="-2" w:hanging="0"/>
              <w:contextualSpacing/>
              <w:jc w:val="left"/>
              <w:rPr>
                <w:color w:val="000000"/>
              </w:rPr>
            </w:pPr>
            <w:r>
              <w:rPr>
                <w:color w:val="000000"/>
              </w:rPr>
            </w:r>
          </w:p>
        </w:tc>
      </w:tr>
    </w:tbl>
    <w:p>
      <w:pPr>
        <w:pStyle w:val="Normal"/>
        <w:ind w:right="-2" w:hanging="0"/>
        <w:rPr>
          <w:b/>
          <w:bCs/>
          <w:sz w:val="22"/>
          <w:szCs w:val="22"/>
          <w:u w:val="single"/>
        </w:rPr>
      </w:pPr>
      <w:r>
        <w:rPr>
          <w:b/>
          <w:bCs/>
          <w:sz w:val="22"/>
          <w:szCs w:val="22"/>
          <w:u w:val="single"/>
        </w:rPr>
      </w:r>
    </w:p>
    <w:tbl>
      <w:tblPr>
        <w:tblStyle w:val="Tabelacomgrade"/>
        <w:tblW w:w="9344" w:type="dxa"/>
        <w:jc w:val="left"/>
        <w:tblInd w:w="123" w:type="dxa"/>
        <w:tblLayout w:type="fixed"/>
        <w:tblCellMar>
          <w:top w:w="0" w:type="dxa"/>
          <w:left w:w="108" w:type="dxa"/>
          <w:bottom w:w="0" w:type="dxa"/>
          <w:right w:w="108" w:type="dxa"/>
        </w:tblCellMar>
        <w:tblLook w:firstRow="1" w:noVBand="1" w:lastRow="0" w:firstColumn="1" w:lastColumn="0" w:noHBand="0" w:val="04a0"/>
      </w:tblPr>
      <w:tblGrid>
        <w:gridCol w:w="284"/>
        <w:gridCol w:w="9059"/>
      </w:tblGrid>
      <w:tr>
        <w:trPr/>
        <w:tc>
          <w:tcPr>
            <w:tcW w:w="9343" w:type="dxa"/>
            <w:gridSpan w:val="2"/>
            <w:tcBorders>
              <w:top w:val="nil"/>
              <w:left w:val="nil"/>
              <w:bottom w:val="nil"/>
              <w:right w:val="nil"/>
            </w:tcBorders>
            <w:shd w:color="auto" w:fill="FFFFFF" w:themeFill="background1" w:val="clear"/>
          </w:tcPr>
          <w:p>
            <w:pPr>
              <w:pStyle w:val="Normal"/>
              <w:widowControl w:val="false"/>
              <w:spacing w:before="0" w:after="0"/>
              <w:ind w:right="-2" w:hanging="0"/>
              <w:jc w:val="both"/>
              <w:rPr>
                <w:b/>
                <w:bCs/>
                <w:sz w:val="22"/>
                <w:szCs w:val="22"/>
              </w:rPr>
            </w:pPr>
            <w:r>
              <w:rPr>
                <w:b/>
                <w:bCs/>
                <w:sz w:val="22"/>
                <w:szCs w:val="22"/>
              </w:rPr>
            </w:r>
          </w:p>
          <w:p>
            <w:pPr>
              <w:pStyle w:val="Normal"/>
              <w:widowControl w:val="false"/>
              <w:spacing w:before="0" w:after="0"/>
              <w:ind w:left="-108" w:right="-2" w:hanging="0"/>
              <w:jc w:val="both"/>
              <w:rPr>
                <w:b/>
                <w:bCs/>
                <w:sz w:val="22"/>
                <w:szCs w:val="22"/>
              </w:rPr>
            </w:pPr>
            <w:r>
              <w:rPr>
                <w:rFonts w:eastAsia="Times New Roman" w:cs="Times New Roman"/>
                <w:b/>
                <w:bCs/>
                <w:kern w:val="0"/>
                <w:sz w:val="22"/>
                <w:szCs w:val="22"/>
                <w:lang w:val="pt-BR" w:eastAsia="pt-BR" w:bidi="ar-SA"/>
              </w:rPr>
              <w:t>2.2.1. Parâmetros utilizados (documentos em anexo):</w:t>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rFonts w:eastAsia="Times New Roman" w:cs="Times New Roman"/>
                <w:b/>
                <w:bCs/>
                <w:color w:val="FF0000"/>
                <w:kern w:val="0"/>
                <w:sz w:val="22"/>
                <w:szCs w:val="22"/>
                <w:lang w:val="pt-BR" w:eastAsia="pt-BR" w:bidi="ar-SA"/>
              </w:rPr>
              <w:t>x</w:t>
            </w:r>
          </w:p>
        </w:tc>
        <w:tc>
          <w:tcPr>
            <w:tcW w:w="9059" w:type="dxa"/>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Portal Nacional de Contratações Públicas – PNCP;</w:t>
            </w:r>
          </w:p>
        </w:tc>
      </w:tr>
      <w:tr>
        <w:trPr/>
        <w:tc>
          <w:tcPr>
            <w:tcW w:w="284" w:type="dxa"/>
            <w:tcBorders>
              <w:top w:val="single" w:sz="12" w:space="0" w:color="000000"/>
              <w:left w:val="nil"/>
              <w:bottom w:val="single" w:sz="12" w:space="0" w:color="000000"/>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Painel de Preços do Governo Federal;</w:t>
            </w:r>
          </w:p>
        </w:tc>
      </w:tr>
      <w:tr>
        <w:trPr/>
        <w:tc>
          <w:tcPr>
            <w:tcW w:w="284" w:type="dxa"/>
            <w:tcBorders>
              <w:top w:val="single" w:sz="12" w:space="0" w:color="000000"/>
              <w:left w:val="nil"/>
              <w:bottom w:val="single" w:sz="12" w:space="0" w:color="000000"/>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Banco de Preços em Saúde;</w:t>
            </w:r>
          </w:p>
        </w:tc>
      </w:tr>
      <w:tr>
        <w:trPr/>
        <w:tc>
          <w:tcPr>
            <w:tcW w:w="284" w:type="dxa"/>
            <w:tcBorders>
              <w:top w:val="single" w:sz="12" w:space="0" w:color="000000"/>
              <w:left w:val="nil"/>
              <w:bottom w:val="single" w:sz="12" w:space="0" w:color="000000"/>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rFonts w:eastAsia="Times New Roman" w:cs="Times New Roman"/>
                <w:b/>
                <w:bCs/>
                <w:color w:val="FF0000"/>
                <w:kern w:val="0"/>
                <w:sz w:val="22"/>
                <w:szCs w:val="22"/>
                <w:lang w:val="pt-BR" w:eastAsia="pt-BR" w:bidi="ar-SA"/>
              </w:rPr>
              <w:t>x</w:t>
            </w:r>
          </w:p>
        </w:tc>
        <w:tc>
          <w:tcPr>
            <w:tcW w:w="9059" w:type="dxa"/>
            <w:vMerge w:val="restart"/>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Contratações similares feitas pela Administração Pública, inclusive mediante sistema de registro de preços;</w:t>
            </w:r>
          </w:p>
        </w:tc>
      </w:tr>
      <w:tr>
        <w:trPr>
          <w:trHeight w:val="182" w:hRule="atLeast"/>
        </w:trPr>
        <w:tc>
          <w:tcPr>
            <w:tcW w:w="284" w:type="dxa"/>
            <w:tcBorders>
              <w:top w:val="single" w:sz="12" w:space="0" w:color="000000"/>
              <w:left w:val="nil"/>
              <w:bottom w:val="single" w:sz="12" w:space="0" w:color="000000"/>
              <w:right w:val="nil"/>
            </w:tcBorders>
          </w:tcPr>
          <w:p>
            <w:pPr>
              <w:pStyle w:val="Normal"/>
              <w:widowControl w:val="false"/>
              <w:spacing w:before="0" w:after="0"/>
              <w:ind w:right="-2" w:hanging="0"/>
              <w:jc w:val="left"/>
              <w:rPr>
                <w:b/>
                <w:bCs/>
                <w:color w:val="FF0000"/>
                <w:sz w:val="22"/>
                <w:szCs w:val="22"/>
              </w:rPr>
            </w:pPr>
            <w:r>
              <w:rPr>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vMerge w:val="restart"/>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Dados de pesquisa publicada em mídia especializada ou de tabela de referência formalmente aprovada pelo Poder Executivo Federal; (Ex. Tabela Fipe, CMED, tabelas oficiais.)</w:t>
            </w:r>
          </w:p>
        </w:tc>
      </w:tr>
      <w:tr>
        <w:trPr>
          <w:trHeight w:val="182" w:hRule="atLeast"/>
        </w:trPr>
        <w:tc>
          <w:tcPr>
            <w:tcW w:w="284" w:type="dxa"/>
            <w:tcBorders>
              <w:top w:val="single" w:sz="12" w:space="0" w:color="000000"/>
              <w:left w:val="nil"/>
              <w:bottom w:val="nil"/>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c>
          <w:tcPr>
            <w:tcW w:w="284" w:type="dxa"/>
            <w:tcBorders>
              <w:top w:val="nil"/>
              <w:left w:val="nil"/>
              <w:bottom w:val="single" w:sz="12" w:space="0" w:color="000000"/>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rFonts w:eastAsia="Times New Roman" w:cs="Times New Roman"/>
                <w:b/>
                <w:bCs/>
                <w:color w:val="FF0000"/>
                <w:kern w:val="0"/>
                <w:sz w:val="22"/>
                <w:szCs w:val="22"/>
                <w:lang w:val="pt-BR" w:eastAsia="pt-BR" w:bidi="ar-SA"/>
              </w:rPr>
              <w:t>x</w:t>
            </w:r>
          </w:p>
        </w:tc>
        <w:tc>
          <w:tcPr>
            <w:tcW w:w="9059" w:type="dxa"/>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Sítios eletrônicos especializados ou de domínio amplo;</w:t>
            </w:r>
          </w:p>
        </w:tc>
      </w:tr>
      <w:tr>
        <w:trPr/>
        <w:tc>
          <w:tcPr>
            <w:tcW w:w="284" w:type="dxa"/>
            <w:tcBorders>
              <w:top w:val="single" w:sz="12" w:space="0" w:color="000000"/>
              <w:left w:val="nil"/>
              <w:bottom w:val="single" w:sz="12" w:space="0" w:color="000000"/>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rFonts w:eastAsia="Times New Roman" w:cs="Times New Roman"/>
                <w:b/>
                <w:bCs/>
                <w:color w:val="FF0000"/>
                <w:kern w:val="0"/>
                <w:sz w:val="22"/>
                <w:szCs w:val="22"/>
                <w:lang w:val="pt-BR" w:eastAsia="pt-BR" w:bidi="ar-SA"/>
              </w:rPr>
              <w:t>x</w:t>
            </w:r>
          </w:p>
        </w:tc>
        <w:tc>
          <w:tcPr>
            <w:tcW w:w="9059" w:type="dxa"/>
            <w:vMerge w:val="restart"/>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Pesquisa direta com, no mínimo, 3 (três) fornecedores, mediante solicitação formal de cotação, por meio de ofício ou e-mail;</w:t>
            </w:r>
          </w:p>
        </w:tc>
      </w:tr>
      <w:tr>
        <w:trPr>
          <w:trHeight w:val="182" w:hRule="atLeast"/>
        </w:trPr>
        <w:tc>
          <w:tcPr>
            <w:tcW w:w="284" w:type="dxa"/>
            <w:tcBorders>
              <w:top w:val="single" w:sz="12" w:space="0" w:color="000000"/>
              <w:left w:val="nil"/>
              <w:bottom w:val="nil"/>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c>
          <w:tcPr>
            <w:tcW w:w="284" w:type="dxa"/>
            <w:tcBorders>
              <w:top w:val="nil"/>
              <w:left w:val="nil"/>
              <w:bottom w:val="single" w:sz="12" w:space="0" w:color="000000"/>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FF0000"/>
                <w:sz w:val="22"/>
                <w:szCs w:val="22"/>
              </w:rPr>
            </w:pPr>
            <w:r>
              <w:rPr>
                <w:rFonts w:eastAsia="Times New Roman" w:cs="Times New Roman"/>
                <w:b/>
                <w:bCs/>
                <w:color w:val="FF0000"/>
                <w:kern w:val="0"/>
                <w:sz w:val="22"/>
                <w:szCs w:val="22"/>
                <w:lang w:val="pt-BR" w:eastAsia="pt-BR" w:bidi="ar-SA"/>
              </w:rPr>
              <w:t>x</w:t>
            </w:r>
          </w:p>
        </w:tc>
        <w:tc>
          <w:tcPr>
            <w:tcW w:w="9059" w:type="dxa"/>
            <w:tcBorders>
              <w:top w:val="nil"/>
              <w:left w:val="single" w:sz="12" w:space="0" w:color="000000"/>
              <w:bottom w:val="nil"/>
              <w:right w:val="nil"/>
            </w:tcBorders>
          </w:tcPr>
          <w:p>
            <w:pPr>
              <w:pStyle w:val="ListParagraph"/>
              <w:widowControl w:val="false"/>
              <w:spacing w:before="0" w:after="0"/>
              <w:ind w:left="0" w:right="-2" w:hanging="2"/>
              <w:contextualSpacing/>
              <w:jc w:val="both"/>
              <w:rPr>
                <w:sz w:val="22"/>
                <w:szCs w:val="22"/>
              </w:rPr>
            </w:pPr>
            <w:r>
              <w:rPr>
                <w:rFonts w:eastAsia="Times New Roman" w:cs="Times New Roman"/>
                <w:kern w:val="0"/>
                <w:sz w:val="22"/>
                <w:szCs w:val="22"/>
                <w:lang w:val="pt-BR" w:eastAsia="pt-BR" w:bidi="ar-SA"/>
              </w:rPr>
              <w:t>Pesquisa através de notas fiscais eletrônicas emitidas em características similares;</w:t>
            </w:r>
          </w:p>
        </w:tc>
      </w:tr>
      <w:tr>
        <w:trPr/>
        <w:tc>
          <w:tcPr>
            <w:tcW w:w="284" w:type="dxa"/>
            <w:tcBorders>
              <w:top w:val="single" w:sz="12" w:space="0" w:color="000000"/>
              <w:left w:val="nil"/>
              <w:bottom w:val="single" w:sz="12" w:space="0" w:color="000000"/>
              <w:right w:val="nil"/>
            </w:tcBorders>
          </w:tcPr>
          <w:p>
            <w:pPr>
              <w:pStyle w:val="ListParagraph"/>
              <w:widowControl w:val="false"/>
              <w:spacing w:before="0" w:after="0"/>
              <w:ind w:left="0" w:right="-2" w:hanging="2"/>
              <w:contextualSpacing/>
              <w:jc w:val="center"/>
              <w:rPr>
                <w:b/>
                <w:bCs/>
                <w:color w:val="FF0000"/>
                <w:sz w:val="22"/>
                <w:szCs w:val="22"/>
              </w:rPr>
            </w:pPr>
            <w:r>
              <w:rPr>
                <w:b/>
                <w:bCs/>
                <w:color w:val="FF0000"/>
                <w:sz w:val="22"/>
                <w:szCs w:val="22"/>
              </w:rPr>
            </w:r>
          </w:p>
        </w:tc>
        <w:tc>
          <w:tcPr>
            <w:tcW w:w="9059" w:type="dxa"/>
            <w:tcBorders>
              <w:top w:val="nil"/>
              <w:left w:val="nil"/>
              <w:bottom w:val="nil"/>
              <w:right w:val="nil"/>
            </w:tcBorders>
          </w:tcPr>
          <w:p>
            <w:pPr>
              <w:pStyle w:val="ListParagraph"/>
              <w:widowControl w:val="false"/>
              <w:spacing w:before="0" w:after="0"/>
              <w:ind w:left="0" w:right="-2" w:hanging="2"/>
              <w:contextualSpacing/>
              <w:jc w:val="both"/>
              <w:rPr>
                <w:sz w:val="22"/>
                <w:szCs w:val="22"/>
              </w:rPr>
            </w:pPr>
            <w:r>
              <w:rPr>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val="false"/>
              <w:spacing w:before="0" w:after="0"/>
              <w:ind w:left="0" w:right="-2" w:hanging="2"/>
              <w:contextualSpacing/>
              <w:jc w:val="center"/>
              <w:rPr>
                <w:b/>
                <w:bCs/>
                <w:color w:val="000000"/>
                <w:sz w:val="22"/>
                <w:szCs w:val="22"/>
              </w:rPr>
            </w:pPr>
            <w:r>
              <w:rPr>
                <w:b/>
                <w:bCs/>
                <w:color w:val="000000"/>
                <w:sz w:val="22"/>
                <w:szCs w:val="22"/>
              </w:rPr>
            </w:r>
          </w:p>
        </w:tc>
        <w:tc>
          <w:tcPr>
            <w:tcW w:w="9059" w:type="dxa"/>
            <w:tcBorders>
              <w:top w:val="nil"/>
              <w:left w:val="single" w:sz="12" w:space="0" w:color="000000"/>
              <w:bottom w:val="nil"/>
              <w:right w:val="nil"/>
            </w:tcBorders>
          </w:tcPr>
          <w:p>
            <w:pPr>
              <w:pStyle w:val="ListParagraph"/>
              <w:widowControl w:val="false"/>
              <w:spacing w:before="0" w:after="0"/>
              <w:ind w:left="0" w:right="-2" w:hanging="2"/>
              <w:contextualSpacing/>
              <w:jc w:val="both"/>
              <w:rPr>
                <w:color w:val="000000"/>
                <w:sz w:val="22"/>
                <w:szCs w:val="22"/>
              </w:rPr>
            </w:pPr>
            <w:r>
              <w:rPr>
                <w:rFonts w:eastAsia="Times New Roman" w:cs="Times New Roman"/>
                <w:color w:val="000000"/>
                <w:kern w:val="0"/>
                <w:sz w:val="22"/>
                <w:szCs w:val="22"/>
                <w:lang w:val="pt-BR" w:eastAsia="pt-BR" w:bidi="ar-SA"/>
              </w:rPr>
              <w:t>Outros:</w:t>
            </w:r>
          </w:p>
        </w:tc>
      </w:tr>
    </w:tbl>
    <w:p>
      <w:pPr>
        <w:pStyle w:val="ListParagraph"/>
        <w:ind w:left="0" w:right="-2" w:hanging="2"/>
        <w:jc w:val="both"/>
        <w:rPr>
          <w:color w:val="FF0000"/>
          <w:sz w:val="22"/>
          <w:szCs w:val="22"/>
          <w:u w:val="single"/>
        </w:rPr>
      </w:pPr>
      <w:r>
        <w:rPr>
          <w:color w:val="FF0000"/>
          <w:sz w:val="22"/>
          <w:szCs w:val="22"/>
          <w:u w:val="single"/>
        </w:rPr>
      </w:r>
    </w:p>
    <w:p>
      <w:pPr>
        <w:pStyle w:val="ListParagraph"/>
        <w:numPr>
          <w:ilvl w:val="0"/>
          <w:numId w:val="2"/>
        </w:numPr>
        <w:pBdr>
          <w:top w:val="single" w:sz="12" w:space="1" w:color="000000"/>
          <w:left w:val="single" w:sz="12" w:space="4" w:color="000000"/>
          <w:bottom w:val="single" w:sz="12" w:space="1" w:color="000000"/>
          <w:right w:val="single" w:sz="12" w:space="4" w:color="000000"/>
        </w:pBdr>
        <w:shd w:val="clear" w:color="auto" w:fill="C6D9F1" w:themeFill="text2" w:themeFillTint="33"/>
        <w:tabs>
          <w:tab w:val="clear" w:pos="720"/>
          <w:tab w:val="left" w:pos="284" w:leader="none"/>
        </w:tabs>
        <w:ind w:left="0" w:right="-2" w:hanging="2"/>
        <w:jc w:val="both"/>
        <w:rPr>
          <w:color w:val="FF0000"/>
          <w:sz w:val="22"/>
          <w:szCs w:val="22"/>
        </w:rPr>
      </w:pPr>
      <w:r>
        <w:rPr>
          <w:b/>
          <w:bCs/>
          <w:sz w:val="22"/>
          <w:szCs w:val="22"/>
        </w:rPr>
        <w:t>Escolha da solução (consequência dos incisos V e VI do §1º do art. 15 do Decreto nº 3.537/2023):</w:t>
      </w:r>
    </w:p>
    <w:p>
      <w:pPr>
        <w:pStyle w:val="Normal"/>
        <w:ind w:right="-2" w:firstLine="426"/>
        <w:jc w:val="both"/>
        <w:rPr>
          <w:bCs/>
          <w:color w:val="000000" w:themeColor="text1"/>
          <w:sz w:val="22"/>
          <w:szCs w:val="22"/>
        </w:rPr>
      </w:pPr>
      <w:r>
        <w:rPr>
          <w:bCs/>
          <w:color w:val="000000" w:themeColor="text1"/>
          <w:sz w:val="22"/>
          <w:szCs w:val="22"/>
        </w:rPr>
      </w:r>
    </w:p>
    <w:p>
      <w:pPr>
        <w:pStyle w:val="Normal"/>
        <w:ind w:right="-2" w:hanging="2"/>
        <w:jc w:val="both"/>
        <w:rPr>
          <w:sz w:val="22"/>
          <w:szCs w:val="22"/>
        </w:rPr>
      </w:pPr>
      <w:r>
        <w:rPr>
          <w:color w:val="FF0000"/>
          <w:sz w:val="22"/>
          <w:szCs w:val="22"/>
        </w:rPr>
        <w:t xml:space="preserve"> </w:t>
      </w:r>
      <w:r>
        <w:rPr>
          <w:sz w:val="22"/>
          <w:szCs w:val="22"/>
        </w:rPr>
        <w:t>Para atendimento das necessidades operacionais da Secretaria Municipal de Assistência Social do Município de Bandeirantes/PR, relacionadas ao fornecimento de kits de lanches destinados às atividades soci assistenciais, foi realizada análise das alternativas disponíveis no mercado, considerando aspectos técnicos, econômicos, logísticos e jurídicos, conforme diretrizes estabelecidas neste Estudo Técnico Preliminar.</w:t>
      </w:r>
    </w:p>
    <w:p>
      <w:pPr>
        <w:pStyle w:val="Normal"/>
        <w:ind w:right="-2" w:hanging="2"/>
        <w:jc w:val="both"/>
        <w:rPr>
          <w:color w:val="FF0000"/>
          <w:sz w:val="22"/>
          <w:szCs w:val="22"/>
        </w:rPr>
      </w:pPr>
      <w:r>
        <w:rPr>
          <w:color w:val="FF0000"/>
          <w:sz w:val="22"/>
          <w:szCs w:val="22"/>
        </w:rPr>
      </w:r>
    </w:p>
    <w:p>
      <w:pPr>
        <w:pStyle w:val="Normal"/>
        <w:ind w:right="-2" w:hanging="2"/>
        <w:jc w:val="both"/>
        <w:rPr>
          <w:sz w:val="22"/>
          <w:szCs w:val="22"/>
        </w:rPr>
      </w:pPr>
      <w:r>
        <w:rPr>
          <w:sz w:val="22"/>
          <w:szCs w:val="22"/>
        </w:rPr>
        <w:t xml:space="preserve"> </w:t>
      </w:r>
      <w:r>
        <w:rPr>
          <w:sz w:val="22"/>
          <w:szCs w:val="22"/>
        </w:rPr>
        <w:t>O objeto da contratação caracteriza-se como bem comum, com padrões de qualidade, desempenho e condições de fornecimento amplamente definidos e usualmente praticados pelo mercado local e regional, permitindo a comparação objetiva entre propostas. As especificações do kit de lanche composto por 02 pacotes de bolinhos (mínimo 40g), 01 suco em embalagem Tetra Pak (mínimo 200ml), 01 pacote de biscoito salgado (mínimo 140g), 01 achocolatado líquido (mínimo 200ml), saco plástico tamanho aproximado de 30x40 cm e lacre amarrilho, com embalagem final realizada pela empresa contratada, encontram-se suficientemente detalhadas, não demandando soluções customizadas ou de alta complexidade técnica.</w:t>
      </w:r>
    </w:p>
    <w:p>
      <w:pPr>
        <w:pStyle w:val="Normal"/>
        <w:ind w:right="-2" w:hanging="2"/>
        <w:jc w:val="both"/>
        <w:rPr>
          <w:color w:val="FF0000"/>
          <w:sz w:val="22"/>
          <w:szCs w:val="22"/>
        </w:rPr>
      </w:pPr>
      <w:r>
        <w:rPr>
          <w:color w:val="FF0000"/>
          <w:sz w:val="22"/>
          <w:szCs w:val="22"/>
        </w:rPr>
      </w:r>
    </w:p>
    <w:p>
      <w:pPr>
        <w:pStyle w:val="Normal"/>
        <w:ind w:right="-2" w:hanging="2"/>
        <w:jc w:val="both"/>
        <w:rPr>
          <w:sz w:val="22"/>
          <w:szCs w:val="22"/>
        </w:rPr>
      </w:pPr>
      <w:r>
        <w:rPr>
          <w:color w:val="FF0000"/>
          <w:sz w:val="22"/>
          <w:szCs w:val="22"/>
        </w:rPr>
        <w:t xml:space="preserve"> </w:t>
      </w:r>
      <w:r>
        <w:rPr>
          <w:sz w:val="22"/>
          <w:szCs w:val="22"/>
        </w:rPr>
        <w:t>No levantamento de mercado realizado, verificou-se a existência de fornecedores aptos ao fornecimento dos itens que compõem o kit, tanto no âmbito municipal quanto regional, evidenciando a viabilidade de competição. A pesquisa de preços junto ao mercado indicou valor médio estimado de R$12,17 (doze reais e dezessete centavos) por kit, demonstrando compatibilidade com os valores praticados e a possibilidade de obtenção de proposta mais vantajosa mediante ampla disputa. A pesquisa de preços realizada por meio do Portal Nacional de Contratações Públicas (PNCP) junto a municípios constantes já mencionados neste Estudo, no tópico Estimativa do valor da contratação, foram utilizados como base para compor a média de valor apresentada.</w:t>
      </w:r>
    </w:p>
    <w:p>
      <w:pPr>
        <w:pStyle w:val="Normal"/>
        <w:ind w:right="-2" w:hanging="2"/>
        <w:jc w:val="both"/>
        <w:rPr>
          <w:sz w:val="22"/>
          <w:szCs w:val="22"/>
        </w:rPr>
      </w:pPr>
      <w:r>
        <w:rPr>
          <w:sz w:val="22"/>
          <w:szCs w:val="22"/>
        </w:rPr>
      </w:r>
    </w:p>
    <w:p>
      <w:pPr>
        <w:pStyle w:val="Normal"/>
        <w:ind w:right="-2" w:hanging="2"/>
        <w:jc w:val="both"/>
        <w:rPr>
          <w:sz w:val="22"/>
          <w:szCs w:val="22"/>
        </w:rPr>
      </w:pPr>
      <w:r>
        <w:rPr>
          <w:sz w:val="22"/>
          <w:szCs w:val="22"/>
        </w:rPr>
        <w:t>Foram consideradas alternativas como aquisição direta por dispensa de licitação, bem como outras formas de contratação previstas na legislação vigente. Entretanto, tais alternativas não se mostraram adequadas, seja pela ausência de enquadramento nas hipóteses legais previstas no art. 75 da Lei nº 14.133/2021, seja pela natureza recorrente e programada da demanda, que exige procedimento competitivo para assegurar isonomia, economicidade e seleção da proposta mais vantajosa à Administração Pública.</w:t>
      </w:r>
    </w:p>
    <w:p>
      <w:pPr>
        <w:pStyle w:val="Normal"/>
        <w:ind w:right="-2" w:hanging="2"/>
        <w:jc w:val="both"/>
        <w:rPr>
          <w:color w:val="FF0000"/>
          <w:sz w:val="22"/>
          <w:szCs w:val="22"/>
        </w:rPr>
      </w:pPr>
      <w:r>
        <w:rPr>
          <w:color w:val="FF0000"/>
          <w:sz w:val="22"/>
          <w:szCs w:val="22"/>
        </w:rPr>
      </w:r>
    </w:p>
    <w:p>
      <w:pPr>
        <w:pStyle w:val="Normal"/>
        <w:ind w:right="-2" w:hanging="2"/>
        <w:jc w:val="both"/>
        <w:rPr>
          <w:sz w:val="22"/>
          <w:szCs w:val="22"/>
        </w:rPr>
      </w:pPr>
      <w:r>
        <w:rPr>
          <w:sz w:val="22"/>
          <w:szCs w:val="22"/>
        </w:rPr>
        <w:t xml:space="preserve"> </w:t>
      </w:r>
      <w:r>
        <w:rPr>
          <w:sz w:val="22"/>
          <w:szCs w:val="22"/>
        </w:rPr>
        <w:t>Diante desse contexto, a realização de licitação na modalidade Pregão, preferencialmente em sua forma eletrônica, apresenta-se como a solução mais adequada ao atendimento do interesse público, por possibilitar ampla participação de fornecedores, maior competitividade, transparência e eficiência no processo de contratação, em consonância com a legislação vigente.</w:t>
      </w:r>
    </w:p>
    <w:p>
      <w:pPr>
        <w:pStyle w:val="Normal"/>
        <w:ind w:right="-2" w:hanging="2"/>
        <w:jc w:val="both"/>
        <w:rPr>
          <w:color w:val="FF0000"/>
          <w:sz w:val="22"/>
          <w:szCs w:val="22"/>
        </w:rPr>
      </w:pPr>
      <w:r>
        <w:rPr>
          <w:color w:val="FF0000"/>
          <w:sz w:val="22"/>
          <w:szCs w:val="22"/>
        </w:rPr>
      </w:r>
    </w:p>
    <w:p>
      <w:pPr>
        <w:pStyle w:val="Normal"/>
        <w:ind w:right="-2" w:hanging="2"/>
        <w:jc w:val="both"/>
        <w:rPr>
          <w:sz w:val="22"/>
          <w:szCs w:val="22"/>
        </w:rPr>
      </w:pPr>
      <w:r>
        <w:rPr>
          <w:sz w:val="22"/>
          <w:szCs w:val="22"/>
        </w:rPr>
        <w:t xml:space="preserve"> </w:t>
      </w:r>
      <w:r>
        <w:rPr>
          <w:sz w:val="22"/>
          <w:szCs w:val="22"/>
        </w:rPr>
        <w:t>Assim, considerando a natureza comum do objeto, a padronização das especificações técnicas, a existência de mercado fornecedor competitivo e a necessidade de assegurar eficiência, economicidade e transparência, conclui-se que a licitação por meio de Pregão Eletrônico, com critério de julgamento pelo menor preço por item, constitui a solução técnica e economicamente mais adequada para a contratação do fornecimento de kits de lanches destinados às ações da Secretaria Municipal de Assistência Social.</w:t>
      </w:r>
    </w:p>
    <w:p>
      <w:pPr>
        <w:pStyle w:val="Normal"/>
        <w:ind w:right="-2" w:hanging="2"/>
        <w:jc w:val="both"/>
        <w:rPr>
          <w:color w:val="FF0000"/>
          <w:sz w:val="22"/>
          <w:szCs w:val="22"/>
        </w:rPr>
      </w:pPr>
      <w:r>
        <w:rPr>
          <w:color w:val="FF0000"/>
          <w:sz w:val="22"/>
          <w:szCs w:val="22"/>
        </w:rPr>
      </w:r>
    </w:p>
    <w:p>
      <w:pPr>
        <w:pStyle w:val="Normal"/>
        <w:ind w:right="-2" w:hanging="2"/>
        <w:jc w:val="both"/>
        <w:rPr>
          <w:sz w:val="22"/>
          <w:szCs w:val="22"/>
        </w:rPr>
      </w:pPr>
      <w:r>
        <w:rPr>
          <w:sz w:val="22"/>
          <w:szCs w:val="22"/>
        </w:rPr>
        <w:t xml:space="preserve"> </w:t>
      </w:r>
      <w:r>
        <w:rPr>
          <w:sz w:val="22"/>
          <w:szCs w:val="22"/>
        </w:rPr>
        <w:t xml:space="preserve">De tabela elaborada pelo método estatístico da média de preços, estima-se que o valor unitário inicial para aquisição do kit seja de R$12,17 (doze reais e dezessete centavos), conforme levantamento de mercado realizado, servindo como parâmetro para a definição do valor estimado global da contratação, portanto o valor total da presente contratação, estima-se </w:t>
      </w:r>
      <w:r>
        <w:rPr>
          <w:rFonts w:eastAsia="Merriweather"/>
          <w:sz w:val="18"/>
          <w:szCs w:val="16"/>
        </w:rPr>
        <w:t>R</w:t>
      </w:r>
      <w:r>
        <w:rPr>
          <w:rFonts w:eastAsia="Merriweather"/>
          <w:sz w:val="22"/>
          <w:szCs w:val="22"/>
        </w:rPr>
        <w:t>$330.671,07</w:t>
      </w:r>
      <w:r>
        <w:rPr>
          <w:rFonts w:eastAsia="Merriweather"/>
          <w:sz w:val="18"/>
          <w:szCs w:val="16"/>
        </w:rPr>
        <w:t xml:space="preserve"> </w:t>
      </w:r>
      <w:r>
        <w:rPr>
          <w:rFonts w:eastAsia="Merriweather"/>
          <w:sz w:val="22"/>
          <w:szCs w:val="22"/>
        </w:rPr>
        <w:t>(Trezentos e trinta mil, seiscentos e setenta e um reais e sete centavos )</w:t>
      </w:r>
    </w:p>
    <w:p>
      <w:pPr>
        <w:pStyle w:val="Normal"/>
        <w:ind w:right="-2" w:hanging="2"/>
        <w:jc w:val="both"/>
        <w:rPr>
          <w:rFonts w:eastAsia="Merriweather"/>
          <w:sz w:val="22"/>
          <w:szCs w:val="22"/>
        </w:rPr>
      </w:pPr>
      <w:r>
        <w:rPr>
          <w:rFonts w:eastAsia="Merriweather"/>
          <w:sz w:val="22"/>
          <w:szCs w:val="22"/>
        </w:rPr>
      </w:r>
    </w:p>
    <w:p>
      <w:pPr>
        <w:pStyle w:val="Normal"/>
        <w:ind w:right="-2" w:hanging="2"/>
        <w:jc w:val="both"/>
        <w:rPr>
          <w:sz w:val="22"/>
          <w:szCs w:val="22"/>
        </w:rPr>
      </w:pPr>
      <w:r>
        <w:rPr>
          <w:sz w:val="22"/>
          <w:szCs w:val="22"/>
        </w:rPr>
      </w:r>
    </w:p>
    <w:p>
      <w:pPr>
        <w:pStyle w:val="Normal"/>
        <w:jc w:val="both"/>
        <w:rPr>
          <w:sz w:val="22"/>
          <w:szCs w:val="22"/>
        </w:rPr>
      </w:pPr>
      <w:r>
        <w:rPr>
          <w:sz w:val="22"/>
          <w:szCs w:val="22"/>
        </w:rPr>
        <w:t>O dever de licitar encontra-se previsto no art. 37, inciso XXI, da Constituição Federal, constituindo limitação imposta à Administração Pública com o objetivo de garantir a proposta mais vantajosa, observando-se os princípios da legalidade, impessoalidade, moralidade, publicidade e eficiência. Nesse sentido, os procedimentos necessários à adequada realização do certame licitatório e à futura contratação estão disciplinados pela Lei nº 14.133/2021.</w:t>
      </w:r>
    </w:p>
    <w:p>
      <w:pPr>
        <w:pStyle w:val="Normal"/>
        <w:jc w:val="both"/>
        <w:rPr>
          <w:sz w:val="22"/>
          <w:szCs w:val="22"/>
        </w:rPr>
      </w:pPr>
      <w:r>
        <w:rPr>
          <w:sz w:val="22"/>
          <w:szCs w:val="22"/>
        </w:rPr>
      </w:r>
    </w:p>
    <w:p>
      <w:pPr>
        <w:pStyle w:val="Normal"/>
        <w:jc w:val="both"/>
        <w:rPr>
          <w:sz w:val="22"/>
          <w:szCs w:val="22"/>
        </w:rPr>
      </w:pPr>
      <w:r>
        <w:rPr>
          <w:sz w:val="22"/>
          <w:szCs w:val="22"/>
        </w:rPr>
        <w:t>Considerando o valor estimado do objeto, não se aplica à presente contratação a hipótese de dispensa de licitação prevista no art. 75 da Lei nº 14.133/2021, sendo necessária a realização de procedimento competitivo.</w:t>
      </w:r>
    </w:p>
    <w:p>
      <w:pPr>
        <w:pStyle w:val="Normal"/>
        <w:jc w:val="both"/>
        <w:rPr>
          <w:sz w:val="22"/>
          <w:szCs w:val="22"/>
        </w:rPr>
      </w:pPr>
      <w:r>
        <w:rPr>
          <w:sz w:val="22"/>
          <w:szCs w:val="22"/>
        </w:rPr>
      </w:r>
    </w:p>
    <w:p>
      <w:pPr>
        <w:pStyle w:val="Normal"/>
        <w:jc w:val="both"/>
        <w:rPr>
          <w:sz w:val="22"/>
          <w:szCs w:val="22"/>
        </w:rPr>
      </w:pPr>
      <w:r>
        <w:rPr>
          <w:sz w:val="22"/>
          <w:szCs w:val="22"/>
        </w:rPr>
        <w:t>No tocante ao critério de julgamento, será adotado o menor preço por item, conforme previsto no art. 79, inciso I, do Decreto Municipal nº 3.537/2023, considerando o menor dispêndio para a Administração Pública, observados os parâmetros mínimos de qualidade definidos no instrumento convocatório.</w:t>
      </w:r>
    </w:p>
    <w:p>
      <w:pPr>
        <w:pStyle w:val="Normal"/>
        <w:ind w:left="-2" w:hanging="0"/>
        <w:jc w:val="both"/>
        <w:rPr>
          <w:color w:val="FF0000"/>
          <w:sz w:val="22"/>
          <w:szCs w:val="22"/>
        </w:rPr>
      </w:pPr>
      <w:r>
        <w:rPr>
          <w:color w:val="FF0000"/>
          <w:sz w:val="22"/>
          <w:szCs w:val="22"/>
        </w:rPr>
      </w:r>
    </w:p>
    <w:p>
      <w:pPr>
        <w:pStyle w:val="Normal"/>
        <w:ind w:left="-2" w:hanging="0"/>
        <w:jc w:val="both"/>
        <w:rPr>
          <w:sz w:val="22"/>
          <w:szCs w:val="22"/>
        </w:rPr>
      </w:pPr>
      <w:r>
        <w:rPr>
          <w:sz w:val="22"/>
          <w:szCs w:val="22"/>
        </w:rPr>
        <w:t xml:space="preserve"> </w:t>
      </w:r>
      <w:r>
        <w:rPr>
          <w:sz w:val="22"/>
          <w:szCs w:val="22"/>
        </w:rPr>
        <w:t>Nesse sentido, os procedimentos necessários à escorreita realização dos certames licitatórios e das contratações entre a administração pública e os particulares estão previstos na Lei nº. 14.133/2021.</w:t>
      </w:r>
    </w:p>
    <w:p>
      <w:pPr>
        <w:pStyle w:val="Normal"/>
        <w:ind w:left="-2" w:hanging="0"/>
        <w:jc w:val="both"/>
        <w:rPr>
          <w:sz w:val="22"/>
          <w:szCs w:val="22"/>
          <w:u w:val="single"/>
        </w:rPr>
      </w:pPr>
      <w:r>
        <w:rPr>
          <w:sz w:val="22"/>
          <w:szCs w:val="22"/>
          <w:u w:val="single"/>
        </w:rPr>
        <w:t>Considerando o valor estimado do objeto temos que a dispensa de licitação</w:t>
      </w:r>
      <w:r>
        <w:rPr>
          <w:u w:val="single"/>
        </w:rPr>
        <w:t xml:space="preserve"> </w:t>
      </w:r>
      <w:r>
        <w:rPr>
          <w:sz w:val="22"/>
          <w:szCs w:val="22"/>
          <w:u w:val="single"/>
        </w:rPr>
        <w:t>não se aplica à presente contratação face o disposto no art.75, da Lei nº. 14.133/2021.</w:t>
      </w:r>
    </w:p>
    <w:p>
      <w:pPr>
        <w:pStyle w:val="Normal"/>
        <w:ind w:left="-2" w:hanging="0"/>
        <w:jc w:val="both"/>
        <w:rPr>
          <w:sz w:val="22"/>
          <w:szCs w:val="22"/>
          <w:u w:val="single"/>
        </w:rPr>
      </w:pPr>
      <w:r>
        <w:rPr>
          <w:sz w:val="22"/>
          <w:szCs w:val="22"/>
          <w:u w:val="single"/>
        </w:rPr>
      </w:r>
    </w:p>
    <w:p>
      <w:pPr>
        <w:pStyle w:val="Normal"/>
        <w:ind w:left="-2" w:hanging="0"/>
        <w:jc w:val="both"/>
        <w:rPr>
          <w:sz w:val="22"/>
          <w:szCs w:val="22"/>
        </w:rPr>
      </w:pPr>
      <w:r>
        <w:rPr>
          <w:sz w:val="22"/>
          <w:szCs w:val="22"/>
        </w:rPr>
        <w:t>De outro lado a Lei nº 14.133/2021 (Nova Lei de Licitações) em Art.18, há disposição que na fase preparatória deve ser abordado todas as considerações técnicas, mercadológicas e de gestão que podem interferir na contratação, prevendo 5 (cinco) modalidades de licitação: pregão; concorrência; concurso; leilão; diálogo competitivo.</w:t>
      </w:r>
    </w:p>
    <w:p>
      <w:pPr>
        <w:pStyle w:val="Normal"/>
        <w:jc w:val="both"/>
        <w:rPr>
          <w:sz w:val="22"/>
          <w:szCs w:val="22"/>
        </w:rPr>
      </w:pPr>
      <w:r>
        <w:rPr>
          <w:sz w:val="22"/>
          <w:szCs w:val="22"/>
        </w:rPr>
      </w:r>
    </w:p>
    <w:p>
      <w:pPr>
        <w:pStyle w:val="Normal"/>
        <w:ind w:left="-2" w:hanging="0"/>
        <w:jc w:val="both"/>
        <w:rPr>
          <w:sz w:val="22"/>
          <w:szCs w:val="22"/>
        </w:rPr>
      </w:pPr>
      <w:r>
        <w:rPr>
          <w:sz w:val="22"/>
          <w:szCs w:val="22"/>
        </w:rPr>
        <w:t xml:space="preserve">O artigo 29 de mesmo comando legal dispõe que a concorrência e pregão seguem o mesmo rito processual, previsto em seu artigo 17, devendo-se adotar o pregão sempre que o objeto possuir padrões de desempenho e qualidade que possam ser objetivamente definidos pelo edital, por meio de especificações usuais de mercado. </w:t>
      </w:r>
    </w:p>
    <w:p>
      <w:pPr>
        <w:pStyle w:val="Normal"/>
        <w:ind w:left="-2" w:firstLine="722"/>
        <w:jc w:val="both"/>
        <w:rPr>
          <w:sz w:val="22"/>
          <w:szCs w:val="22"/>
        </w:rPr>
      </w:pPr>
      <w:r>
        <w:rPr>
          <w:sz w:val="22"/>
          <w:szCs w:val="22"/>
        </w:rPr>
        <w:t>No tocante ao critério de julgamento da proposta além do disposto na Lei de Licitações – Lei nº 14.133/2021, o Município disciplinou em Art. 79 do Decreto nº 3.537/2023 de 09 de maio de 2023, quais poderão ser utilizados, a saber:</w:t>
      </w:r>
    </w:p>
    <w:p>
      <w:pPr>
        <w:pStyle w:val="Normal"/>
        <w:ind w:left="-2" w:hanging="0"/>
        <w:jc w:val="both"/>
        <w:rPr>
          <w:sz w:val="10"/>
          <w:szCs w:val="22"/>
        </w:rPr>
      </w:pPr>
      <w:r>
        <w:rPr>
          <w:sz w:val="10"/>
          <w:szCs w:val="22"/>
        </w:rPr>
      </w:r>
    </w:p>
    <w:p>
      <w:pPr>
        <w:pStyle w:val="Normal"/>
        <w:ind w:left="720" w:hanging="0"/>
        <w:jc w:val="both"/>
        <w:rPr>
          <w:sz w:val="18"/>
          <w:szCs w:val="18"/>
        </w:rPr>
      </w:pPr>
      <w:r>
        <w:rPr>
          <w:sz w:val="18"/>
          <w:szCs w:val="18"/>
        </w:rPr>
        <w:t>Art. 79. Poderão ser utilizados como critérios de julgamento:</w:t>
      </w:r>
    </w:p>
    <w:p>
      <w:pPr>
        <w:pStyle w:val="Normal"/>
        <w:ind w:left="720" w:hanging="0"/>
        <w:jc w:val="both"/>
        <w:rPr>
          <w:sz w:val="18"/>
          <w:szCs w:val="18"/>
        </w:rPr>
      </w:pPr>
      <w:r>
        <w:rPr>
          <w:sz w:val="18"/>
          <w:szCs w:val="18"/>
        </w:rPr>
        <w:t>I - menor preço;</w:t>
      </w:r>
    </w:p>
    <w:p>
      <w:pPr>
        <w:pStyle w:val="Normal"/>
        <w:ind w:left="720" w:hanging="0"/>
        <w:jc w:val="both"/>
        <w:rPr>
          <w:sz w:val="18"/>
          <w:szCs w:val="18"/>
        </w:rPr>
      </w:pPr>
      <w:r>
        <w:rPr>
          <w:sz w:val="18"/>
          <w:szCs w:val="18"/>
        </w:rPr>
        <w:t>II - maior desconto;</w:t>
      </w:r>
    </w:p>
    <w:p>
      <w:pPr>
        <w:pStyle w:val="Normal"/>
        <w:ind w:left="720" w:hanging="0"/>
        <w:jc w:val="both"/>
        <w:rPr>
          <w:sz w:val="18"/>
          <w:szCs w:val="18"/>
        </w:rPr>
      </w:pPr>
      <w:r>
        <w:rPr>
          <w:sz w:val="18"/>
          <w:szCs w:val="18"/>
        </w:rPr>
        <w:t>III - melhor técnica ou conteúdo artístico;</w:t>
      </w:r>
    </w:p>
    <w:p>
      <w:pPr>
        <w:pStyle w:val="Normal"/>
        <w:ind w:left="720" w:hanging="0"/>
        <w:jc w:val="both"/>
        <w:rPr>
          <w:sz w:val="18"/>
          <w:szCs w:val="18"/>
        </w:rPr>
      </w:pPr>
      <w:r>
        <w:rPr>
          <w:sz w:val="18"/>
          <w:szCs w:val="18"/>
        </w:rPr>
        <w:t>IV - técnica e preço;</w:t>
      </w:r>
    </w:p>
    <w:p>
      <w:pPr>
        <w:pStyle w:val="Normal"/>
        <w:ind w:left="720" w:hanging="0"/>
        <w:jc w:val="both"/>
        <w:rPr>
          <w:sz w:val="18"/>
          <w:szCs w:val="18"/>
        </w:rPr>
      </w:pPr>
      <w:r>
        <w:rPr>
          <w:sz w:val="18"/>
          <w:szCs w:val="18"/>
        </w:rPr>
        <w:t>V - maior lance, no caso de leilão;</w:t>
      </w:r>
    </w:p>
    <w:p>
      <w:pPr>
        <w:pStyle w:val="Normal"/>
        <w:ind w:left="720" w:hanging="0"/>
        <w:jc w:val="both"/>
        <w:rPr>
          <w:sz w:val="18"/>
          <w:szCs w:val="18"/>
        </w:rPr>
      </w:pPr>
      <w:r>
        <w:rPr>
          <w:sz w:val="18"/>
          <w:szCs w:val="18"/>
        </w:rPr>
        <w:t>VI - maior retorno econômico.</w:t>
      </w:r>
    </w:p>
    <w:p>
      <w:pPr>
        <w:pStyle w:val="Normal"/>
        <w:ind w:left="-2" w:hanging="0"/>
        <w:jc w:val="both"/>
        <w:rPr>
          <w:sz w:val="10"/>
          <w:szCs w:val="22"/>
        </w:rPr>
      </w:pPr>
      <w:r>
        <w:rPr>
          <w:sz w:val="10"/>
          <w:szCs w:val="22"/>
        </w:rPr>
      </w:r>
    </w:p>
    <w:p>
      <w:pPr>
        <w:pStyle w:val="Normal"/>
        <w:ind w:left="-2" w:hanging="0"/>
        <w:jc w:val="both"/>
        <w:rPr>
          <w:sz w:val="22"/>
          <w:szCs w:val="22"/>
        </w:rPr>
      </w:pPr>
      <w:r>
        <w:rPr>
          <w:sz w:val="22"/>
          <w:szCs w:val="22"/>
        </w:rPr>
        <w:t xml:space="preserve"> </w:t>
      </w:r>
      <w:r>
        <w:rPr>
          <w:sz w:val="22"/>
          <w:szCs w:val="22"/>
        </w:rPr>
        <w:t>De mesmo Decreto Municipal nº 3.537/2023, consta em Arts. 80 e 81:</w:t>
      </w:r>
    </w:p>
    <w:p>
      <w:pPr>
        <w:pStyle w:val="Normal"/>
        <w:ind w:left="-2" w:hanging="0"/>
        <w:jc w:val="both"/>
        <w:rPr>
          <w:sz w:val="8"/>
          <w:szCs w:val="22"/>
        </w:rPr>
      </w:pPr>
      <w:r>
        <w:rPr>
          <w:sz w:val="8"/>
          <w:szCs w:val="22"/>
        </w:rPr>
      </w:r>
    </w:p>
    <w:p>
      <w:pPr>
        <w:pStyle w:val="Normal"/>
        <w:ind w:left="720" w:hanging="0"/>
        <w:jc w:val="both"/>
        <w:rPr>
          <w:sz w:val="18"/>
          <w:szCs w:val="18"/>
        </w:rPr>
      </w:pPr>
      <w:r>
        <w:rPr>
          <w:sz w:val="18"/>
          <w:szCs w:val="18"/>
        </w:rPr>
        <w:t>Art. 80. O critério de julgamento pelo menor preço ou maior desconto considerará o menor dispêndio para a Administração Pública, atendidos os parâmetros mínimos de qualidade definidos no instrumento convocatório.</w:t>
      </w:r>
    </w:p>
    <w:p>
      <w:pPr>
        <w:pStyle w:val="Normal"/>
        <w:ind w:left="720" w:hanging="0"/>
        <w:jc w:val="both"/>
        <w:rPr>
          <w:sz w:val="18"/>
          <w:szCs w:val="18"/>
        </w:rPr>
      </w:pPr>
      <w:r>
        <w:rPr>
          <w:sz w:val="18"/>
          <w:szCs w:val="18"/>
        </w:rPr>
        <w:t>§1º Os custos indiretos, relacionados às despesas de manutenção, utilização, reposição, depreciação e impacto ambiental, entre outros fatores, poderão ser considerados para a definição do menor dispêndio, sempre que objetivamente mensuráveis, conforme parâmetros definidos no instrumento convocatório.</w:t>
      </w:r>
    </w:p>
    <w:p>
      <w:pPr>
        <w:pStyle w:val="Normal"/>
        <w:ind w:left="720" w:hanging="0"/>
        <w:jc w:val="both"/>
        <w:rPr>
          <w:sz w:val="18"/>
          <w:szCs w:val="18"/>
        </w:rPr>
      </w:pPr>
      <w:r>
        <w:rPr>
          <w:sz w:val="18"/>
          <w:szCs w:val="18"/>
        </w:rPr>
        <w:t>§2º Parâmetros adicionais de mensuração de custos indiretos poderão ser estabelecidos em ato do titular da Pasta responsável pelo procedimento licitatório.</w:t>
      </w:r>
    </w:p>
    <w:p>
      <w:pPr>
        <w:pStyle w:val="Normal"/>
        <w:ind w:left="720" w:hanging="0"/>
        <w:jc w:val="both"/>
        <w:rPr>
          <w:sz w:val="18"/>
          <w:szCs w:val="18"/>
        </w:rPr>
      </w:pPr>
      <w:r>
        <w:rPr>
          <w:sz w:val="18"/>
          <w:szCs w:val="18"/>
        </w:rPr>
      </w:r>
    </w:p>
    <w:p>
      <w:pPr>
        <w:pStyle w:val="Normal"/>
        <w:ind w:left="720" w:hanging="0"/>
        <w:jc w:val="both"/>
        <w:rPr>
          <w:sz w:val="18"/>
          <w:szCs w:val="18"/>
        </w:rPr>
      </w:pPr>
      <w:r>
        <w:rPr>
          <w:sz w:val="18"/>
          <w:szCs w:val="18"/>
        </w:rPr>
        <w:t xml:space="preserve">Art. 81. O critério de julgamento por maior desconto utilizará como referência o preço total estimado, fixado pelo instrumento convocatório, e o desconto será estendido aos eventuais termos aditivos. </w:t>
      </w:r>
    </w:p>
    <w:p>
      <w:pPr>
        <w:pStyle w:val="Normal"/>
        <w:ind w:left="720" w:hanging="0"/>
        <w:jc w:val="both"/>
        <w:rPr>
          <w:sz w:val="18"/>
          <w:szCs w:val="18"/>
        </w:rPr>
      </w:pPr>
      <w:r>
        <w:rPr>
          <w:sz w:val="18"/>
          <w:szCs w:val="18"/>
        </w:rPr>
        <w:t>§1º No caso de obras ou serviços de engenharia, o percentual de desconto apresentado pelos licitantes preferencialmente incidirá linearmente sobre os preços de todos os itens do orçamento estimado constante do instrumento convocatório.</w:t>
      </w:r>
    </w:p>
    <w:p>
      <w:pPr>
        <w:pStyle w:val="Normal"/>
        <w:ind w:left="720" w:hanging="0"/>
        <w:jc w:val="both"/>
        <w:rPr>
          <w:sz w:val="18"/>
          <w:szCs w:val="18"/>
        </w:rPr>
      </w:pPr>
      <w:r>
        <w:rPr>
          <w:sz w:val="18"/>
          <w:szCs w:val="18"/>
        </w:rPr>
        <w:t>§2º O critério de julgamento pelo maior desconto poderá incidir sobre tabelas de preços oficiais, públicas ou privadas.</w:t>
      </w:r>
    </w:p>
    <w:p>
      <w:pPr>
        <w:pStyle w:val="Normal"/>
        <w:ind w:left="720" w:hanging="0"/>
        <w:jc w:val="both"/>
        <w:rPr>
          <w:sz w:val="18"/>
          <w:szCs w:val="18"/>
        </w:rPr>
      </w:pPr>
      <w:r>
        <w:rPr>
          <w:sz w:val="18"/>
          <w:szCs w:val="18"/>
        </w:rPr>
        <w:t>§3º Para a adoção do critério de maior desconto poderá ser utilizada licitação com lances negativos de forma que a contratada possa oferecer pagamento à Administração para a execução do contrato.</w:t>
      </w:r>
    </w:p>
    <w:p>
      <w:pPr>
        <w:pStyle w:val="Normal"/>
        <w:ind w:left="-2" w:hanging="0"/>
        <w:jc w:val="both"/>
        <w:rPr>
          <w:sz w:val="18"/>
          <w:szCs w:val="18"/>
        </w:rPr>
      </w:pPr>
      <w:r>
        <w:rPr>
          <w:sz w:val="18"/>
          <w:szCs w:val="18"/>
        </w:rPr>
      </w:r>
    </w:p>
    <w:p>
      <w:pPr>
        <w:pStyle w:val="Normal"/>
        <w:jc w:val="both"/>
        <w:rPr>
          <w:sz w:val="22"/>
          <w:szCs w:val="22"/>
        </w:rPr>
      </w:pPr>
      <w:r>
        <w:rPr>
          <w:sz w:val="22"/>
          <w:szCs w:val="22"/>
        </w:rPr>
        <w:t xml:space="preserve">Na presente contratação adotara o critério </w:t>
      </w:r>
      <w:r>
        <w:rPr>
          <w:sz w:val="22"/>
          <w:szCs w:val="22"/>
          <w:u w:val="single"/>
        </w:rPr>
        <w:t>menor preço por item</w:t>
      </w:r>
      <w:r>
        <w:rPr>
          <w:sz w:val="22"/>
          <w:szCs w:val="22"/>
        </w:rPr>
        <w:t>.</w:t>
      </w:r>
    </w:p>
    <w:p>
      <w:pPr>
        <w:pStyle w:val="Normal"/>
        <w:ind w:left="-2" w:hanging="0"/>
        <w:jc w:val="both"/>
        <w:rPr>
          <w:sz w:val="22"/>
          <w:szCs w:val="22"/>
        </w:rPr>
      </w:pPr>
      <w:r>
        <w:rPr>
          <w:sz w:val="22"/>
          <w:szCs w:val="22"/>
        </w:rPr>
        <w:t>Quanto aos procedimentos auxiliares estes são aqueles, que como o nome já diz, utilizados para auxiliar e facilitar a contratação pública, no caso em comento apenas daremos ênfase aos passiveis de serem utilizados na presente contratação a saber: Credenciamento e Sistema de Registro de Preço.</w:t>
      </w:r>
    </w:p>
    <w:p>
      <w:pPr>
        <w:pStyle w:val="Normal"/>
        <w:jc w:val="both"/>
        <w:rPr>
          <w:color w:val="FF0000"/>
          <w:sz w:val="22"/>
          <w:szCs w:val="22"/>
        </w:rPr>
      </w:pPr>
      <w:r>
        <w:rPr>
          <w:color w:val="FF0000"/>
          <w:sz w:val="22"/>
          <w:szCs w:val="22"/>
        </w:rPr>
      </w:r>
    </w:p>
    <w:p>
      <w:pPr>
        <w:pStyle w:val="Normal"/>
        <w:ind w:left="-2" w:hanging="0"/>
        <w:jc w:val="both"/>
        <w:rPr>
          <w:bCs/>
          <w:sz w:val="22"/>
          <w:szCs w:val="22"/>
        </w:rPr>
      </w:pPr>
      <w:r>
        <w:rPr>
          <w:sz w:val="22"/>
          <w:szCs w:val="22"/>
        </w:rPr>
        <w:t xml:space="preserve">Por sua vez o </w:t>
      </w:r>
      <w:r>
        <w:rPr>
          <w:sz w:val="22"/>
          <w:szCs w:val="22"/>
          <w:u w:val="single"/>
        </w:rPr>
        <w:t>Portal Nacional de Compras Públicas - PNCP</w:t>
      </w:r>
      <w:r>
        <w:rPr>
          <w:sz w:val="22"/>
          <w:szCs w:val="22"/>
        </w:rPr>
        <w:t xml:space="preserve">, pode ser utilizado, principalmente, quando a Administração não dispuser dos quantitativos exatos que serão contratados ou adquiridos ao longo da vigência do registro, já que tem sido muito utilizado por entes públicos nas contratações similares à presente, neste contexto será adotado referido sistema para a aquisição. </w:t>
      </w:r>
      <w:r>
        <w:rPr>
          <w:bCs/>
          <w:sz w:val="22"/>
          <w:szCs w:val="22"/>
        </w:rPr>
        <w:t>A adoção de critérios auxiliares devera será analisada quando de momento oportuno da elaboração de termo de referência.</w:t>
      </w:r>
    </w:p>
    <w:p>
      <w:pPr>
        <w:pStyle w:val="Normal"/>
        <w:ind w:left="-2" w:hanging="0"/>
        <w:jc w:val="both"/>
        <w:rPr>
          <w:bCs/>
          <w:sz w:val="22"/>
          <w:szCs w:val="22"/>
        </w:rPr>
      </w:pPr>
      <w:r>
        <w:rPr>
          <w:bCs/>
          <w:sz w:val="22"/>
          <w:szCs w:val="22"/>
        </w:rPr>
      </w:r>
    </w:p>
    <w:p>
      <w:pPr>
        <w:pStyle w:val="Normal"/>
        <w:ind w:left="-2" w:hanging="0"/>
        <w:jc w:val="both"/>
        <w:rPr>
          <w:sz w:val="22"/>
          <w:szCs w:val="22"/>
        </w:rPr>
      </w:pPr>
      <w:r>
        <w:rPr>
          <w:sz w:val="22"/>
          <w:szCs w:val="22"/>
        </w:rPr>
        <w:t>A licitação em questão, na modalidade mencionada, deverá ter a validade de 12 meses, a contar da data de assinatura do contrato.</w:t>
      </w:r>
    </w:p>
    <w:p>
      <w:pPr>
        <w:pStyle w:val="Normal"/>
        <w:ind w:left="-2" w:hanging="0"/>
        <w:jc w:val="both"/>
        <w:rPr>
          <w:sz w:val="22"/>
          <w:szCs w:val="22"/>
        </w:rPr>
      </w:pPr>
      <w:r>
        <w:rPr>
          <w:sz w:val="22"/>
          <w:szCs w:val="22"/>
        </w:rPr>
      </w:r>
    </w:p>
    <w:p>
      <w:pPr>
        <w:pStyle w:val="Normal"/>
        <w:ind w:left="-2" w:hanging="0"/>
        <w:jc w:val="both"/>
        <w:rPr>
          <w:sz w:val="22"/>
          <w:szCs w:val="22"/>
        </w:rPr>
      </w:pPr>
      <w:r>
        <w:rPr>
          <w:sz w:val="22"/>
          <w:szCs w:val="22"/>
        </w:rPr>
      </w:r>
    </w:p>
    <w:p>
      <w:pPr>
        <w:pStyle w:val="Normal"/>
        <w:ind w:right="-2" w:hanging="2"/>
        <w:jc w:val="both"/>
        <w:rPr>
          <w:sz w:val="22"/>
          <w:szCs w:val="22"/>
        </w:rPr>
      </w:pPr>
      <w:r>
        <w:rPr>
          <w:b/>
          <w:sz w:val="22"/>
          <w:szCs w:val="22"/>
        </w:rPr>
        <w:t xml:space="preserve">3.1. LEGISLAÇÃO APLICÁVEL CONTRATAÇÃO: </w:t>
      </w:r>
    </w:p>
    <w:tbl>
      <w:tblPr>
        <w:tblW w:w="5000" w:type="pct"/>
        <w:jc w:val="left"/>
        <w:tblInd w:w="85" w:type="dxa"/>
        <w:tblLayout w:type="fixed"/>
        <w:tblCellMar>
          <w:top w:w="0" w:type="dxa"/>
          <w:left w:w="70" w:type="dxa"/>
          <w:bottom w:w="0" w:type="dxa"/>
          <w:right w:w="70" w:type="dxa"/>
        </w:tblCellMar>
        <w:tblLook w:firstRow="1" w:noVBand="1" w:lastRow="0" w:firstColumn="1" w:lastColumn="0" w:noHBand="0" w:val="04a0"/>
      </w:tblPr>
      <w:tblGrid>
        <w:gridCol w:w="269"/>
        <w:gridCol w:w="9084"/>
      </w:tblGrid>
      <w:tr>
        <w:trPr>
          <w:trHeight w:val="217" w:hRule="atLeast"/>
        </w:trPr>
        <w:tc>
          <w:tcPr>
            <w:tcW w:w="269"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ind w:right="-2" w:hanging="2"/>
              <w:jc w:val="center"/>
              <w:rPr>
                <w:b/>
                <w:bCs/>
                <w:sz w:val="22"/>
                <w:szCs w:val="22"/>
              </w:rPr>
            </w:pPr>
            <w:r>
              <w:rPr>
                <w:b/>
                <w:bCs/>
                <w:sz w:val="22"/>
                <w:szCs w:val="22"/>
              </w:rPr>
            </w:r>
          </w:p>
        </w:tc>
        <w:tc>
          <w:tcPr>
            <w:tcW w:w="9084" w:type="dxa"/>
            <w:vMerge w:val="restart"/>
            <w:tcBorders>
              <w:left w:val="single" w:sz="12" w:space="0" w:color="000000"/>
            </w:tcBorders>
            <w:shd w:color="auto" w:fill="auto" w:val="clear"/>
            <w:vAlign w:val="bottom"/>
          </w:tcPr>
          <w:p>
            <w:pPr>
              <w:pStyle w:val="Normal"/>
              <w:widowControl w:val="false"/>
              <w:ind w:right="-2" w:hanging="2"/>
              <w:jc w:val="both"/>
              <w:rPr/>
            </w:pPr>
            <w:r>
              <w:rPr>
                <w:sz w:val="22"/>
                <w:szCs w:val="22"/>
              </w:rPr>
              <w:t>A Solicitação de Demanda não indicou e esta equipe não localizou nos estudos, nenhum normativo específico referente ao objeto estudado.</w:t>
            </w:r>
          </w:p>
        </w:tc>
      </w:tr>
      <w:tr>
        <w:trPr>
          <w:trHeight w:val="157" w:hRule="atLeast"/>
        </w:trPr>
        <w:tc>
          <w:tcPr>
            <w:tcW w:w="269" w:type="dxa"/>
            <w:tcBorders>
              <w:top w:val="single" w:sz="12" w:space="0" w:color="000000"/>
            </w:tcBorders>
            <w:shd w:color="auto" w:fill="auto" w:val="clear"/>
          </w:tcPr>
          <w:p>
            <w:pPr>
              <w:pStyle w:val="Normal"/>
              <w:widowControl w:val="false"/>
              <w:ind w:right="-2" w:hanging="2"/>
              <w:jc w:val="both"/>
              <w:rPr>
                <w:sz w:val="22"/>
                <w:szCs w:val="22"/>
              </w:rPr>
            </w:pPr>
            <w:r>
              <w:rPr>
                <w:sz w:val="22"/>
                <w:szCs w:val="22"/>
              </w:rPr>
            </w:r>
          </w:p>
        </w:tc>
        <w:tc>
          <w:tcPr>
            <w:tcW w:w="9084" w:type="dxa"/>
            <w:vMerge w:val="continue"/>
            <w:tcBorders/>
            <w:shd w:color="auto" w:fill="auto" w:val="clear"/>
            <w:vAlign w:val="bottom"/>
          </w:tcPr>
          <w:p>
            <w:pPr>
              <w:pStyle w:val="Normal"/>
              <w:widowControl w:val="false"/>
              <w:ind w:right="-2" w:hanging="2"/>
              <w:jc w:val="both"/>
              <w:rPr>
                <w:sz w:val="22"/>
                <w:szCs w:val="22"/>
              </w:rPr>
            </w:pPr>
            <w:r>
              <w:rPr>
                <w:sz w:val="22"/>
                <w:szCs w:val="22"/>
              </w:rPr>
            </w:r>
          </w:p>
        </w:tc>
      </w:tr>
      <w:tr>
        <w:trPr>
          <w:trHeight w:val="157" w:hRule="atLeast"/>
        </w:trPr>
        <w:tc>
          <w:tcPr>
            <w:tcW w:w="269" w:type="dxa"/>
            <w:tcBorders>
              <w:bottom w:val="single" w:sz="12" w:space="0" w:color="000000"/>
            </w:tcBorders>
            <w:shd w:color="auto" w:fill="auto" w:val="clear"/>
          </w:tcPr>
          <w:p>
            <w:pPr>
              <w:pStyle w:val="Normal"/>
              <w:widowControl w:val="false"/>
              <w:ind w:right="-2" w:hanging="2"/>
              <w:jc w:val="both"/>
              <w:rPr>
                <w:sz w:val="22"/>
                <w:szCs w:val="22"/>
              </w:rPr>
            </w:pPr>
            <w:r>
              <w:rPr>
                <w:sz w:val="22"/>
                <w:szCs w:val="22"/>
              </w:rPr>
            </w:r>
          </w:p>
        </w:tc>
        <w:tc>
          <w:tcPr>
            <w:tcW w:w="9084" w:type="dxa"/>
            <w:tcBorders/>
            <w:shd w:color="auto" w:fill="auto" w:val="clear"/>
            <w:vAlign w:val="bottom"/>
          </w:tcPr>
          <w:p>
            <w:pPr>
              <w:pStyle w:val="Normal"/>
              <w:widowControl w:val="false"/>
              <w:ind w:right="-2" w:hanging="2"/>
              <w:jc w:val="both"/>
              <w:rPr>
                <w:sz w:val="22"/>
                <w:szCs w:val="22"/>
              </w:rPr>
            </w:pPr>
            <w:r>
              <w:rPr>
                <w:sz w:val="22"/>
                <w:szCs w:val="22"/>
              </w:rPr>
            </w:r>
          </w:p>
        </w:tc>
      </w:tr>
      <w:tr>
        <w:trPr>
          <w:trHeight w:val="229" w:hRule="atLeast"/>
        </w:trPr>
        <w:tc>
          <w:tcPr>
            <w:tcW w:w="269"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ind w:right="-2" w:hanging="2"/>
              <w:jc w:val="center"/>
              <w:rPr/>
            </w:pPr>
            <w:r>
              <w:rPr>
                <w:b/>
                <w:bCs/>
                <w:sz w:val="22"/>
                <w:szCs w:val="22"/>
              </w:rPr>
              <w:t>X</w:t>
            </w:r>
          </w:p>
        </w:tc>
        <w:tc>
          <w:tcPr>
            <w:tcW w:w="9084" w:type="dxa"/>
            <w:vMerge w:val="restart"/>
            <w:tcBorders>
              <w:left w:val="single" w:sz="12" w:space="0" w:color="000000"/>
            </w:tcBorders>
            <w:shd w:color="auto" w:fill="auto" w:val="clear"/>
            <w:vAlign w:val="bottom"/>
          </w:tcPr>
          <w:p>
            <w:pPr>
              <w:pStyle w:val="Normal"/>
              <w:widowControl w:val="false"/>
              <w:ind w:right="-2" w:hanging="0"/>
              <w:jc w:val="both"/>
              <w:rPr/>
            </w:pPr>
            <w:r>
              <w:rPr>
                <w:sz w:val="22"/>
                <w:szCs w:val="22"/>
              </w:rPr>
              <w:t>Foram localizados normativos acerca do objeto estudado, e estes estão sendo considerados no presente estudo:</w:t>
            </w:r>
          </w:p>
        </w:tc>
      </w:tr>
      <w:tr>
        <w:trPr>
          <w:trHeight w:val="202" w:hRule="atLeast"/>
        </w:trPr>
        <w:tc>
          <w:tcPr>
            <w:tcW w:w="269" w:type="dxa"/>
            <w:tcBorders>
              <w:top w:val="single" w:sz="12" w:space="0" w:color="000000"/>
            </w:tcBorders>
            <w:shd w:color="auto" w:fill="auto" w:val="clear"/>
          </w:tcPr>
          <w:p>
            <w:pPr>
              <w:pStyle w:val="Normal"/>
              <w:widowControl w:val="false"/>
              <w:ind w:right="-2" w:hanging="2"/>
              <w:jc w:val="center"/>
              <w:rPr>
                <w:b/>
                <w:bCs/>
                <w:sz w:val="22"/>
                <w:szCs w:val="22"/>
              </w:rPr>
            </w:pPr>
            <w:r>
              <w:rPr>
                <w:b/>
                <w:bCs/>
                <w:sz w:val="22"/>
                <w:szCs w:val="22"/>
              </w:rPr>
            </w:r>
          </w:p>
        </w:tc>
        <w:tc>
          <w:tcPr>
            <w:tcW w:w="9084" w:type="dxa"/>
            <w:vMerge w:val="continue"/>
            <w:tcBorders/>
            <w:shd w:color="auto" w:fill="auto" w:val="clear"/>
            <w:vAlign w:val="bottom"/>
          </w:tcPr>
          <w:p>
            <w:pPr>
              <w:pStyle w:val="Normal"/>
              <w:widowControl w:val="false"/>
              <w:ind w:right="-2" w:hanging="0"/>
              <w:jc w:val="both"/>
              <w:rPr>
                <w:sz w:val="22"/>
                <w:szCs w:val="22"/>
              </w:rPr>
            </w:pPr>
            <w:r>
              <w:rPr>
                <w:sz w:val="22"/>
                <w:szCs w:val="22"/>
              </w:rPr>
            </w:r>
          </w:p>
        </w:tc>
      </w:tr>
    </w:tbl>
    <w:p>
      <w:pPr>
        <w:pStyle w:val="Normal"/>
        <w:ind w:right="-2" w:hanging="2"/>
        <w:jc w:val="both"/>
        <w:rPr/>
      </w:pPr>
      <w:r>
        <w:rPr/>
      </w:r>
    </w:p>
    <w:p>
      <w:pPr>
        <w:pStyle w:val="Normal"/>
        <w:ind w:right="-2" w:hanging="2"/>
        <w:jc w:val="both"/>
        <w:rPr/>
      </w:pPr>
      <w:r>
        <w:rPr>
          <w:b/>
          <w:bCs/>
          <w:sz w:val="22"/>
          <w:szCs w:val="22"/>
        </w:rPr>
        <w:t>3.4.1.</w:t>
      </w:r>
      <w:r>
        <w:rPr>
          <w:sz w:val="22"/>
          <w:szCs w:val="22"/>
        </w:rPr>
        <w:t xml:space="preserve"> Lei 14.133/21, de 01 de abril de 2021 e suas alterações.</w:t>
      </w:r>
    </w:p>
    <w:p>
      <w:pPr>
        <w:pStyle w:val="Normal"/>
        <w:ind w:right="-2" w:hanging="2"/>
        <w:jc w:val="both"/>
        <w:rPr/>
      </w:pPr>
      <w:r>
        <w:rPr>
          <w:b/>
          <w:bCs/>
          <w:sz w:val="22"/>
          <w:szCs w:val="22"/>
        </w:rPr>
        <w:t>3.4.2.</w:t>
      </w:r>
      <w:r>
        <w:rPr>
          <w:sz w:val="22"/>
          <w:szCs w:val="22"/>
        </w:rPr>
        <w:t xml:space="preserve"> Decreto Municipal nº 3.537/2023.</w:t>
      </w:r>
    </w:p>
    <w:p>
      <w:pPr>
        <w:pStyle w:val="Normal"/>
        <w:ind w:right="-2" w:firstLine="140"/>
        <w:jc w:val="both"/>
        <w:rPr>
          <w:sz w:val="22"/>
          <w:szCs w:val="22"/>
        </w:rPr>
      </w:pPr>
      <w:r>
        <w:rPr>
          <w:sz w:val="22"/>
          <w:szCs w:val="22"/>
        </w:rPr>
        <w:t>A observância a este conjunto normativo assegura a legalidade, transparência, economicidade e segurança jurídica do presente processo de contratação, garantindo que a aquisição atenda integralmente aos princípios e regras da Administração Pública.</w:t>
      </w:r>
    </w:p>
    <w:p>
      <w:pPr>
        <w:pStyle w:val="Normal"/>
        <w:ind w:right="-2" w:hanging="2"/>
        <w:jc w:val="both"/>
        <w:rPr>
          <w:sz w:val="22"/>
          <w:szCs w:val="22"/>
        </w:rPr>
      </w:pPr>
      <w:r>
        <w:rPr>
          <w:sz w:val="22"/>
          <w:szCs w:val="22"/>
        </w:rPr>
      </w:r>
    </w:p>
    <w:p>
      <w:pPr>
        <w:pStyle w:val="Normal"/>
        <w:shd w:val="clear" w:color="auto" w:fill="1F497D" w:themeFill="text2"/>
        <w:ind w:right="-2" w:firstLine="140"/>
        <w:jc w:val="both"/>
        <w:rPr/>
      </w:pPr>
      <w:r>
        <w:rPr>
          <w:b/>
          <w:bCs/>
          <w:color w:val="F2F2F2" w:themeColor="background1" w:themeShade="f2"/>
          <w:sz w:val="22"/>
          <w:szCs w:val="22"/>
        </w:rPr>
        <w:t>IV - Detalhamento da Solução Escolhida</w:t>
      </w:r>
    </w:p>
    <w:p>
      <w:pPr>
        <w:pStyle w:val="Normal"/>
        <w:ind w:right="-2" w:hanging="2"/>
        <w:jc w:val="both"/>
        <w:rPr>
          <w:b/>
          <w:bCs/>
          <w:color w:val="FF0000"/>
          <w:sz w:val="22"/>
          <w:szCs w:val="22"/>
        </w:rPr>
      </w:pPr>
      <w:r>
        <w:rPr>
          <w:b/>
          <w:bCs/>
          <w:color w:val="FF0000"/>
          <w:sz w:val="22"/>
          <w:szCs w:val="22"/>
        </w:rPr>
      </w:r>
    </w:p>
    <w:p>
      <w:pPr>
        <w:pStyle w:val="Normal"/>
        <w:ind w:right="-2" w:hanging="2"/>
        <w:jc w:val="both"/>
        <w:rPr>
          <w:b/>
          <w:bCs/>
          <w:color w:val="FF0000"/>
          <w:sz w:val="22"/>
          <w:szCs w:val="22"/>
        </w:rPr>
      </w:pPr>
      <w:r>
        <w:rPr>
          <w:b/>
          <w:bCs/>
          <w:color w:val="FF0000"/>
          <w:sz w:val="22"/>
          <w:szCs w:val="22"/>
        </w:rPr>
      </w:r>
    </w:p>
    <w:p>
      <w:pPr>
        <w:pStyle w:val="ListParagraph"/>
        <w:numPr>
          <w:ilvl w:val="0"/>
          <w:numId w:val="3"/>
        </w:numPr>
        <w:pBdr>
          <w:top w:val="single" w:sz="12" w:space="1" w:color="000000"/>
          <w:left w:val="single" w:sz="12" w:space="0" w:color="000000"/>
          <w:bottom w:val="single" w:sz="12" w:space="1" w:color="000000"/>
          <w:right w:val="single" w:sz="12" w:space="4" w:color="000000"/>
        </w:pBdr>
        <w:shd w:val="clear" w:color="auto" w:fill="C6D9F1" w:themeFill="text2" w:themeFillTint="33"/>
        <w:tabs>
          <w:tab w:val="clear" w:pos="720"/>
          <w:tab w:val="left" w:pos="284" w:leader="none"/>
        </w:tabs>
        <w:ind w:left="0" w:right="-2" w:hanging="2"/>
        <w:jc w:val="both"/>
        <w:rPr/>
      </w:pPr>
      <w:r>
        <w:rPr>
          <w:b/>
          <w:bCs/>
          <w:sz w:val="22"/>
          <w:szCs w:val="22"/>
        </w:rPr>
        <w:t>Descrição da solução como um todo (art. 15, §1º, V e VI do Decreto nº3.537/2023):</w:t>
      </w:r>
    </w:p>
    <w:p>
      <w:pPr>
        <w:pStyle w:val="CabealhoeRodap"/>
        <w:ind w:right="-2" w:hanging="0"/>
        <w:jc w:val="both"/>
        <w:rPr>
          <w:b/>
          <w:bCs/>
          <w:color w:val="FF0000"/>
          <w:sz w:val="22"/>
          <w:szCs w:val="22"/>
        </w:rPr>
      </w:pPr>
      <w:r>
        <w:rPr>
          <w:b/>
          <w:bCs/>
          <w:color w:val="FF0000"/>
          <w:sz w:val="22"/>
          <w:szCs w:val="22"/>
        </w:rPr>
      </w:r>
      <w:bookmarkStart w:id="1" w:name="_Hlk189722521"/>
      <w:bookmarkStart w:id="2" w:name="_Hlk189722521"/>
      <w:bookmarkEnd w:id="2"/>
    </w:p>
    <w:p>
      <w:pPr>
        <w:pStyle w:val="Normal"/>
        <w:ind w:left="-2" w:right="-2" w:hanging="0"/>
        <w:jc w:val="both"/>
        <w:rPr>
          <w:b/>
          <w:sz w:val="22"/>
          <w:szCs w:val="22"/>
        </w:rPr>
      </w:pPr>
      <w:r>
        <w:rPr>
          <w:b/>
          <w:sz w:val="22"/>
          <w:szCs w:val="22"/>
        </w:rPr>
        <w:t>1.1. Objeto</w:t>
      </w:r>
    </w:p>
    <w:p>
      <w:pPr>
        <w:pStyle w:val="Normal"/>
        <w:ind w:left="-2" w:right="-2" w:hanging="0"/>
        <w:jc w:val="both"/>
        <w:rPr>
          <w:b/>
          <w:sz w:val="22"/>
          <w:szCs w:val="22"/>
        </w:rPr>
      </w:pPr>
      <w:r>
        <w:rPr>
          <w:b/>
          <w:sz w:val="22"/>
          <w:szCs w:val="22"/>
        </w:rPr>
      </w:r>
    </w:p>
    <w:p>
      <w:pPr>
        <w:pStyle w:val="Normal"/>
        <w:ind w:left="-2" w:right="-2" w:hanging="0"/>
        <w:jc w:val="both"/>
        <w:rPr>
          <w:sz w:val="22"/>
          <w:szCs w:val="22"/>
        </w:rPr>
      </w:pPr>
      <w:r>
        <w:rPr>
          <w:sz w:val="22"/>
          <w:szCs w:val="22"/>
        </w:rPr>
        <w:t>Identifica-se a necessidade de atender, de forma contínua e adequada, às demandas da Secretaria Municipal de Assistência Social, relacionadas à realização de atividades coletivas, oficinas socioeducativas, atendimentos em grupo, campanhas institucionais, cursos, ações comunitárias e demais serviços desenvolvidos junto aos usuários da política pública. Tais atividades, muitas vezes, possuem duração prolongada ou de certa intensidade energética, e exigem organização logística prévia para garantir acolhimento adequado, permanência dos participantes e regularidade na execução das ações planejadas.</w:t>
      </w:r>
    </w:p>
    <w:p>
      <w:pPr>
        <w:pStyle w:val="Normal"/>
        <w:ind w:left="-2" w:right="-2" w:hanging="0"/>
        <w:jc w:val="both"/>
        <w:rPr>
          <w:sz w:val="22"/>
          <w:szCs w:val="22"/>
        </w:rPr>
      </w:pPr>
      <w:r>
        <w:rPr>
          <w:sz w:val="22"/>
          <w:szCs w:val="22"/>
        </w:rPr>
      </w:r>
    </w:p>
    <w:p>
      <w:pPr>
        <w:pStyle w:val="Normal"/>
        <w:widowControl w:val="false"/>
        <w:tabs>
          <w:tab w:val="clear" w:pos="720"/>
          <w:tab w:val="right" w:pos="9071" w:leader="none"/>
        </w:tabs>
        <w:ind w:right="-2" w:hanging="0"/>
        <w:jc w:val="both"/>
        <w:textAlignment w:val="baseline"/>
        <w:rPr>
          <w:sz w:val="22"/>
          <w:szCs w:val="22"/>
        </w:rPr>
      </w:pPr>
      <w:r>
        <w:rPr>
          <w:sz w:val="22"/>
          <w:szCs w:val="22"/>
        </w:rPr>
        <w:t>A necessidade da presente contratação decorre da execução das políticas públicas desenvolvidas pela Secretaria Municipal de Assistência Social, especialmente no âmbito de projetos, oficinas socioeducativas, cursos de qualificação profissional ofertados em parceria com o SENAC, atividades complementares voltadas à pessoa idosa,reuniões do Serviço de Proteção e Atendimento Integral à Família (PAIF), e encontros e demais atividades desenvolvidas pela Diretoria de Políticas Públicas para Mulheres. Tais ações integram a rede de proteção social do Município e visam promover inclusão social, fortalecimento de vínculos comunitários e desenvolvimento de capacidades para autonomia e melhoria das condições de vida dos usuários atendidos.</w:t>
      </w:r>
    </w:p>
    <w:p>
      <w:pPr>
        <w:pStyle w:val="Normal"/>
        <w:ind w:left="-2" w:right="-2" w:hanging="0"/>
        <w:jc w:val="both"/>
        <w:rPr>
          <w:sz w:val="22"/>
          <w:szCs w:val="22"/>
        </w:rPr>
      </w:pPr>
      <w:r>
        <w:rPr>
          <w:sz w:val="22"/>
          <w:szCs w:val="22"/>
        </w:rPr>
      </w:r>
    </w:p>
    <w:p>
      <w:pPr>
        <w:pStyle w:val="Normal"/>
        <w:ind w:left="-2" w:right="-2" w:hanging="0"/>
        <w:jc w:val="both"/>
        <w:rPr>
          <w:sz w:val="22"/>
          <w:szCs w:val="22"/>
        </w:rPr>
      </w:pPr>
      <w:r>
        <w:rPr>
          <w:sz w:val="22"/>
          <w:szCs w:val="22"/>
        </w:rPr>
        <w:t>Sob a perspectiva do interesse público, a ausência de uma solução estruturada para o fornecimento de kits de lanches durante essas atividades pode comprometer a organização dos serviços socioassistenciais, dificultar a permanência dos usuários nas ações, gerar improvisações logísticas e ocasionar aquisições fragmentadas sem padronização ou controle eficiente dos custos. Além disso, a inexistência de fornecimento previamente planejado pode acarretar desigualdade no atendimento entre os participantes, riscos sanitários decorrentes de soluções informais e prejuízos à eficiência administrativa.</w:t>
      </w:r>
    </w:p>
    <w:p>
      <w:pPr>
        <w:pStyle w:val="Normal"/>
        <w:ind w:left="-2" w:right="-2" w:hanging="0"/>
        <w:jc w:val="both"/>
        <w:rPr>
          <w:sz w:val="22"/>
          <w:szCs w:val="22"/>
        </w:rPr>
      </w:pPr>
      <w:r>
        <w:rPr>
          <w:sz w:val="22"/>
          <w:szCs w:val="22"/>
        </w:rPr>
      </w:r>
    </w:p>
    <w:p>
      <w:pPr>
        <w:pStyle w:val="Normal"/>
        <w:ind w:left="-2" w:right="-2" w:hanging="0"/>
        <w:jc w:val="both"/>
        <w:rPr>
          <w:sz w:val="22"/>
          <w:szCs w:val="22"/>
        </w:rPr>
      </w:pPr>
      <w:r>
        <w:rPr>
          <w:sz w:val="22"/>
          <w:szCs w:val="22"/>
        </w:rPr>
        <w:t>Diante desse cenário, evidencia-se a necessidade de garantir o fornecimento regular de kits de lanches devidamente padronizados, seguros para consumo e entregues de forma organizada sempre que as atividades da Secretaria Municipal de Assistência Social demandarem suporte alimentar aos participantes e equipes envolvidas. A medida contribui para a continuidade das ações institucionais, fortalecimento dos vínculos comunitários, melhor organização logística dos eventos e observância aos princípios da eficiência, economicidade e razoabilidade na gestão pública.</w:t>
      </w:r>
    </w:p>
    <w:p>
      <w:pPr>
        <w:pStyle w:val="Normal"/>
        <w:ind w:left="-2" w:right="-2" w:hanging="0"/>
        <w:jc w:val="both"/>
        <w:rPr>
          <w:sz w:val="22"/>
          <w:szCs w:val="22"/>
        </w:rPr>
      </w:pPr>
      <w:r>
        <w:rPr>
          <w:sz w:val="22"/>
          <w:szCs w:val="22"/>
        </w:rPr>
      </w:r>
    </w:p>
    <w:p>
      <w:pPr>
        <w:pStyle w:val="Normal"/>
        <w:ind w:left="-2" w:right="-2" w:hanging="0"/>
        <w:jc w:val="both"/>
        <w:rPr>
          <w:sz w:val="22"/>
          <w:szCs w:val="22"/>
        </w:rPr>
      </w:pPr>
      <w:r>
        <w:rPr>
          <w:sz w:val="22"/>
          <w:szCs w:val="22"/>
        </w:rPr>
        <w:t>A necessidade ora descrita decorre diretamente da obrigação do Município de Bandeirantes/PR de assegurar condições adequadas para execução das políticas públicas de assistência social, promovendo acolhimento digno aos usuários, garantindo previsibilidade administrativa e maior controle sobre os recursos públicos empregados nas ações socio assistenciais.</w:t>
      </w:r>
    </w:p>
    <w:p>
      <w:pPr>
        <w:pStyle w:val="Normal"/>
        <w:ind w:left="-2" w:right="-2" w:hanging="0"/>
        <w:jc w:val="both"/>
        <w:rPr>
          <w:b/>
          <w:sz w:val="22"/>
          <w:szCs w:val="22"/>
        </w:rPr>
      </w:pPr>
      <w:r>
        <w:rPr>
          <w:b/>
          <w:sz w:val="22"/>
          <w:szCs w:val="22"/>
        </w:rPr>
      </w:r>
    </w:p>
    <w:p>
      <w:pPr>
        <w:pStyle w:val="Normal"/>
        <w:ind w:left="-2" w:right="-2" w:hanging="0"/>
        <w:jc w:val="both"/>
        <w:rPr>
          <w:sz w:val="22"/>
          <w:szCs w:val="22"/>
        </w:rPr>
      </w:pPr>
      <w:r>
        <w:rPr>
          <w:b/>
          <w:sz w:val="22"/>
          <w:szCs w:val="22"/>
        </w:rPr>
        <w:t xml:space="preserve">1.2. Natureza do Objeto: </w:t>
      </w:r>
      <w:r>
        <w:rPr>
          <w:sz w:val="22"/>
          <w:szCs w:val="22"/>
        </w:rPr>
        <w:t>A natureza do objeto deste ETP, dadas suas características, enquadra-se como Material de consumo comum nos termos da Lei nº 14.133/2021, cujos padrões de desempenho e qualidade podem ser objetivamente definidos pelo edital ou instrumento equivalente, por meio de especificações usuais de mercado.</w:t>
      </w:r>
    </w:p>
    <w:p>
      <w:pPr>
        <w:pStyle w:val="Normal"/>
        <w:ind w:left="-2" w:right="-2" w:hanging="0"/>
        <w:jc w:val="both"/>
        <w:rPr>
          <w:b/>
          <w:sz w:val="22"/>
          <w:szCs w:val="22"/>
        </w:rPr>
      </w:pPr>
      <w:r>
        <w:rPr>
          <w:b/>
          <w:sz w:val="22"/>
          <w:szCs w:val="22"/>
        </w:rPr>
      </w:r>
    </w:p>
    <w:p>
      <w:pPr>
        <w:pStyle w:val="Normal"/>
        <w:ind w:left="-2" w:right="-2" w:hanging="0"/>
        <w:jc w:val="both"/>
        <w:rPr>
          <w:sz w:val="22"/>
          <w:szCs w:val="22"/>
        </w:rPr>
      </w:pPr>
      <w:r>
        <w:rPr>
          <w:b/>
          <w:sz w:val="22"/>
          <w:szCs w:val="22"/>
        </w:rPr>
        <w:t xml:space="preserve">1.3. Modalidade de Contratação: </w:t>
      </w:r>
      <w:r>
        <w:rPr>
          <w:sz w:val="22"/>
          <w:szCs w:val="22"/>
        </w:rPr>
        <w:t>Objeto de natureza comum, com ampla oferta por empresas do ramo alimentício e de fornecimento de produtos embalados, possibilitando execução por diversos fornecedores, o que favorece a competitividade e a seleção da proposta mais vantajosa à Administração.</w:t>
      </w:r>
    </w:p>
    <w:p>
      <w:pPr>
        <w:pStyle w:val="Normal"/>
        <w:ind w:left="-2" w:right="-2" w:hanging="0"/>
        <w:jc w:val="both"/>
        <w:rPr>
          <w:b/>
          <w:sz w:val="22"/>
          <w:szCs w:val="22"/>
        </w:rPr>
      </w:pPr>
      <w:r>
        <w:rPr>
          <w:b/>
          <w:sz w:val="22"/>
          <w:szCs w:val="22"/>
        </w:rPr>
      </w:r>
    </w:p>
    <w:p>
      <w:pPr>
        <w:pStyle w:val="Normal"/>
        <w:ind w:left="-2" w:right="-2" w:hanging="0"/>
        <w:jc w:val="both"/>
        <w:rPr>
          <w:sz w:val="22"/>
          <w:szCs w:val="22"/>
        </w:rPr>
      </w:pPr>
      <w:r>
        <w:rPr>
          <w:b/>
          <w:sz w:val="22"/>
          <w:szCs w:val="22"/>
        </w:rPr>
        <w:t xml:space="preserve">1.4. Da Execução e Abrangência Da Contratação: </w:t>
      </w:r>
      <w:r>
        <w:rPr>
          <w:sz w:val="22"/>
          <w:szCs w:val="22"/>
        </w:rPr>
        <w:t>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pPr>
        <w:pStyle w:val="Normal"/>
        <w:ind w:left="-2" w:right="-2" w:hanging="0"/>
        <w:jc w:val="both"/>
        <w:rPr>
          <w:sz w:val="22"/>
          <w:szCs w:val="22"/>
        </w:rPr>
      </w:pPr>
      <w:r>
        <w:rPr>
          <w:sz w:val="22"/>
          <w:szCs w:val="22"/>
        </w:rPr>
      </w:r>
    </w:p>
    <w:p>
      <w:pPr>
        <w:pStyle w:val="Normal"/>
        <w:ind w:left="-2" w:right="-2" w:hanging="0"/>
        <w:jc w:val="both"/>
        <w:rPr>
          <w:sz w:val="22"/>
          <w:szCs w:val="22"/>
        </w:rPr>
      </w:pPr>
      <w:r>
        <w:rPr>
          <w:b/>
          <w:sz w:val="22"/>
          <w:szCs w:val="22"/>
        </w:rPr>
        <w:t xml:space="preserve">1.4.1. </w:t>
      </w:r>
      <w:r>
        <w:rPr>
          <w:sz w:val="22"/>
          <w:szCs w:val="22"/>
        </w:rPr>
        <w:t>A proposta de preço deverá compreender todas as despesas referentes a entrega, taxas e impostos;</w:t>
      </w:r>
    </w:p>
    <w:p>
      <w:pPr>
        <w:pStyle w:val="Normal"/>
        <w:ind w:left="-2" w:right="-2" w:hanging="0"/>
        <w:jc w:val="both"/>
        <w:rPr>
          <w:b/>
          <w:sz w:val="22"/>
          <w:szCs w:val="22"/>
        </w:rPr>
      </w:pPr>
      <w:r>
        <w:rPr>
          <w:b/>
          <w:sz w:val="22"/>
          <w:szCs w:val="22"/>
        </w:rPr>
      </w:r>
    </w:p>
    <w:p>
      <w:pPr>
        <w:pStyle w:val="Normal"/>
        <w:ind w:left="-2" w:right="-2" w:hanging="0"/>
        <w:jc w:val="both"/>
        <w:rPr>
          <w:sz w:val="22"/>
          <w:szCs w:val="22"/>
        </w:rPr>
      </w:pPr>
      <w:r>
        <w:rPr>
          <w:b/>
          <w:sz w:val="22"/>
          <w:szCs w:val="22"/>
        </w:rPr>
        <w:t xml:space="preserve">1.4.2. </w:t>
      </w:r>
      <w:r>
        <w:rPr>
          <w:sz w:val="22"/>
          <w:szCs w:val="22"/>
        </w:rPr>
        <w:t>Os itens a serem disponibilizado e especificado neste estudo técnico, deverão estar em perfeitas condições de utilização e dentro do prazo de validade mínima estimada de até 03 (três) meses.</w:t>
      </w:r>
    </w:p>
    <w:p>
      <w:pPr>
        <w:pStyle w:val="Normal"/>
        <w:ind w:left="-2" w:right="-2" w:hanging="0"/>
        <w:jc w:val="both"/>
        <w:rPr>
          <w:sz w:val="22"/>
          <w:szCs w:val="22"/>
        </w:rPr>
      </w:pPr>
      <w:r>
        <w:rPr>
          <w:sz w:val="22"/>
          <w:szCs w:val="22"/>
        </w:rPr>
      </w:r>
    </w:p>
    <w:p>
      <w:pPr>
        <w:pStyle w:val="Normal"/>
        <w:ind w:left="-2" w:right="-2" w:hanging="0"/>
        <w:jc w:val="both"/>
        <w:rPr>
          <w:sz w:val="22"/>
          <w:szCs w:val="22"/>
        </w:rPr>
      </w:pPr>
      <w:r>
        <w:rPr>
          <w:b/>
          <w:sz w:val="22"/>
          <w:szCs w:val="22"/>
        </w:rPr>
        <w:t xml:space="preserve">1.4.3. </w:t>
      </w:r>
      <w:r>
        <w:rPr>
          <w:sz w:val="22"/>
          <w:szCs w:val="22"/>
        </w:rPr>
        <w:t>A CONTRATADA deverá substituir, por sua conta, no total ou em parte, o item em que se verificarem vícios, defeitos ou incorreções;</w:t>
      </w:r>
    </w:p>
    <w:p>
      <w:pPr>
        <w:pStyle w:val="Normal"/>
        <w:ind w:left="-2" w:right="-2" w:hanging="0"/>
        <w:jc w:val="both"/>
        <w:rPr>
          <w:sz w:val="22"/>
          <w:szCs w:val="22"/>
        </w:rPr>
      </w:pPr>
      <w:r>
        <w:rPr>
          <w:sz w:val="22"/>
          <w:szCs w:val="22"/>
        </w:rPr>
      </w:r>
    </w:p>
    <w:p>
      <w:pPr>
        <w:pStyle w:val="Normal"/>
        <w:ind w:right="-2" w:hanging="0"/>
        <w:jc w:val="both"/>
        <w:rPr>
          <w:sz w:val="22"/>
          <w:szCs w:val="22"/>
        </w:rPr>
      </w:pPr>
      <w:r>
        <w:rPr>
          <w:b/>
          <w:sz w:val="22"/>
          <w:szCs w:val="22"/>
        </w:rPr>
        <w:t>1.4.4</w:t>
      </w:r>
      <w:r>
        <w:rPr>
          <w:sz w:val="22"/>
          <w:szCs w:val="22"/>
        </w:rPr>
        <w:t>. Os itens especificados neste estudo técnico, classificam-se como comuns, nos termos da Lei Federal n. º 14.133/21, de 01 de abril de 2021, e deverão ser fornecidos a esta Municipalidade de forma parcelada de acordo com quantidades solicitadas na Solicitação de Fornecimento a ser oportunamente expedida pela Secretaria requisitante.</w:t>
      </w:r>
    </w:p>
    <w:p>
      <w:pPr>
        <w:pStyle w:val="Normal"/>
        <w:ind w:right="-2" w:hanging="0"/>
        <w:jc w:val="both"/>
        <w:rPr>
          <w:sz w:val="22"/>
          <w:szCs w:val="22"/>
        </w:rPr>
      </w:pPr>
      <w:r>
        <w:rPr>
          <w:b/>
          <w:sz w:val="22"/>
          <w:szCs w:val="22"/>
        </w:rPr>
        <w:br/>
        <w:t xml:space="preserve">1.4.5. </w:t>
      </w:r>
      <w:r>
        <w:rPr>
          <w:sz w:val="22"/>
          <w:szCs w:val="22"/>
        </w:rPr>
        <w:t>Caso algum dos produtos entregues apresente alguma contradição com o que foi solicitado neste estudo, de termo de referência ou algum defeito de fabricação, a CONTRATADA deverá providenciar a troca/substituição do mesmo em tempo hábil para que não haja prejuízo do CONTRATANTE.</w:t>
      </w:r>
      <w:r>
        <w:rPr>
          <w:rFonts w:cs="Arial" w:ascii="Arial" w:hAnsi="Arial"/>
          <w:sz w:val="22"/>
          <w:szCs w:val="22"/>
        </w:rPr>
        <w:br/>
        <w:br/>
      </w:r>
      <w:r>
        <w:rPr>
          <w:b/>
          <w:sz w:val="22"/>
          <w:szCs w:val="22"/>
        </w:rPr>
        <w:t xml:space="preserve">1.5. DO PRAZO DA EXECUÇÃO: </w:t>
      </w:r>
      <w:r>
        <w:rPr>
          <w:sz w:val="22"/>
          <w:szCs w:val="22"/>
        </w:rPr>
        <w:t>Por se tratar de bem de consumo, o objeto deverá ser fornecido quando solicitado pelo solicitante, considerando o prazo de 5 (cinco) dias de antecedência para finais de semana e feriados, o item somente será aceito se atender a todas as especificações técnicas estabelecidas no presente estudo e termo de referência.</w:t>
      </w:r>
    </w:p>
    <w:p>
      <w:pPr>
        <w:pStyle w:val="Normal"/>
        <w:ind w:right="-2" w:hanging="0"/>
        <w:jc w:val="both"/>
        <w:rPr>
          <w:sz w:val="22"/>
          <w:szCs w:val="22"/>
        </w:rPr>
      </w:pPr>
      <w:r>
        <w:rPr>
          <w:sz w:val="22"/>
          <w:szCs w:val="22"/>
        </w:rPr>
        <w:t>1.5.1.O objeto deverá ser fornecido no prazo máximo de 48 (quarenta e oito) horas a partir do recebimento da Solicitação de Fornecimento ou Empenho. A entrega poderá ocorrer em dias úteis, finais de semana ou feriados. O item será aceito somente se atender a todas as especificações técnicas estabelecidas no estudo e no termo de referência.</w:t>
      </w:r>
    </w:p>
    <w:p>
      <w:pPr>
        <w:pStyle w:val="Normal"/>
        <w:ind w:right="-2" w:hanging="0"/>
        <w:jc w:val="both"/>
        <w:rPr>
          <w:sz w:val="22"/>
          <w:szCs w:val="22"/>
        </w:rPr>
      </w:pPr>
      <w:r>
        <w:rPr>
          <w:sz w:val="22"/>
          <w:szCs w:val="22"/>
        </w:rPr>
        <w:t xml:space="preserve">1.5.2. Em caso de não observância do prazo para a entrega dos produtos, falta do produto, casos fortuitos ou de força maior, a CONTRATADA deverá comunicar as razões respectivas com pelo menos 24 (vinte e quatro) horas de antecedência para qualquer pleito de prorrogação de prazo seja analisado, ressalvadas situações de caso fortuito e força maior, sob pena de sofrer as sanções previstas no contrato administrativo e na legislação legal.  </w:t>
      </w:r>
    </w:p>
    <w:p>
      <w:pPr>
        <w:pStyle w:val="Normal"/>
        <w:ind w:right="-2" w:hanging="0"/>
        <w:jc w:val="both"/>
        <w:rPr>
          <w:sz w:val="22"/>
          <w:szCs w:val="22"/>
        </w:rPr>
      </w:pPr>
      <w:r>
        <w:rPr>
          <w:sz w:val="22"/>
          <w:szCs w:val="22"/>
        </w:rPr>
        <w:t xml:space="preserve"> </w:t>
      </w:r>
      <w:r>
        <w:rPr>
          <w:sz w:val="22"/>
          <w:szCs w:val="22"/>
        </w:rPr>
        <w:t xml:space="preserve">1.5.3. Em caso de não observância do prazo para a entrega dos produtos, falta do produto, casos fortuitos ou de força maior, a CONTRATADA deverá comunicar as razões respectivas com pelo menos 05 (cinco) dias de antecedência para qualquer pleito de prorrogação de prazo seja analisado, ressalvadas situações de caso fortuito e força maior, sob pena de sofrer as sanções previstas no contrato administrativo e na legislação legal.  </w:t>
      </w:r>
    </w:p>
    <w:p>
      <w:pPr>
        <w:pStyle w:val="ListParagraph"/>
        <w:ind w:left="0" w:hanging="0"/>
        <w:jc w:val="both"/>
        <w:rPr>
          <w:sz w:val="22"/>
          <w:szCs w:val="22"/>
        </w:rPr>
      </w:pPr>
      <w:r>
        <w:rPr>
          <w:sz w:val="22"/>
          <w:szCs w:val="22"/>
        </w:rPr>
        <w:t xml:space="preserve">1.5.4.Os itens especificados neste estudo técnico, classificam-se como comuns, nos termos da Lei Federal n. º 14.133/21, de 01 de abril de 2021, e deverão ser fornecidos a esta Municipalidade de forma parcelada de acordo com quantidades solicitadas na Solicitação de Fornecimento a ser oportunamente expedida pela Secretaria requisitante. </w:t>
      </w:r>
    </w:p>
    <w:p>
      <w:pPr>
        <w:pStyle w:val="Normal"/>
        <w:ind w:right="-2" w:hanging="0"/>
        <w:jc w:val="both"/>
        <w:rPr>
          <w:sz w:val="22"/>
          <w:szCs w:val="22"/>
        </w:rPr>
      </w:pPr>
      <w:r>
        <w:rPr>
          <w:sz w:val="22"/>
          <w:szCs w:val="22"/>
        </w:rPr>
      </w:r>
    </w:p>
    <w:p>
      <w:pPr>
        <w:pStyle w:val="CabealhoeRodap"/>
        <w:ind w:right="-2" w:hanging="0"/>
        <w:jc w:val="both"/>
        <w:rPr>
          <w:sz w:val="22"/>
          <w:szCs w:val="22"/>
        </w:rPr>
      </w:pPr>
      <w:r>
        <w:rPr>
          <w:b/>
          <w:sz w:val="22"/>
          <w:szCs w:val="22"/>
        </w:rPr>
        <w:t xml:space="preserve">1.6. Os critérios de sustentabilidade: </w:t>
      </w:r>
      <w:r>
        <w:rPr>
          <w:sz w:val="22"/>
          <w:szCs w:val="22"/>
        </w:rPr>
        <w:t>A presente contratação observará, no que couber, os critérios de sustentabilidade ambiental previstos no art. 25 da Lei nº 14.133/2021, no Decreto Municipal nº 3.537/2023, na Lei nº 12.305/2010 e no Decreto nº 10.936/2022, compatíveis com a natureza e especificações da presente contratação.</w:t>
      </w:r>
    </w:p>
    <w:p>
      <w:pPr>
        <w:pStyle w:val="CabealhoeRodap"/>
        <w:ind w:right="-2" w:hanging="0"/>
        <w:jc w:val="both"/>
        <w:rPr>
          <w:sz w:val="22"/>
          <w:szCs w:val="22"/>
        </w:rPr>
      </w:pPr>
      <w:r>
        <w:rPr>
          <w:sz w:val="22"/>
          <w:szCs w:val="22"/>
        </w:rPr>
        <w:t>1.6.1. A CONTRATADA deverá respeitar a legislação vigente e as normas técnicas, elaboradas pela ABNT e pelo INMETRO, para aferição e garantia de aplicação dos requisitos mínimos de qualidade, utilidade e segurança dos materiais e serviços.</w:t>
      </w:r>
    </w:p>
    <w:p>
      <w:pPr>
        <w:pStyle w:val="CabealhoeRodap"/>
        <w:ind w:right="-2" w:hanging="0"/>
        <w:jc w:val="both"/>
        <w:rPr>
          <w:sz w:val="22"/>
          <w:szCs w:val="22"/>
        </w:rPr>
      </w:pPr>
      <w:r>
        <w:rPr>
          <w:sz w:val="22"/>
          <w:szCs w:val="22"/>
        </w:rPr>
      </w:r>
    </w:p>
    <w:p>
      <w:pPr>
        <w:pStyle w:val="CabealhoeRodap"/>
        <w:ind w:right="-2" w:hanging="0"/>
        <w:jc w:val="both"/>
        <w:rPr>
          <w:b/>
          <w:sz w:val="22"/>
          <w:szCs w:val="22"/>
        </w:rPr>
      </w:pPr>
      <w:r>
        <w:rPr>
          <w:sz w:val="22"/>
          <w:szCs w:val="22"/>
        </w:rPr>
        <w:t xml:space="preserve">1.7. </w:t>
      </w:r>
      <w:r>
        <w:rPr>
          <w:b/>
          <w:sz w:val="22"/>
          <w:szCs w:val="22"/>
        </w:rPr>
        <w:t>DA DURAÇÃO DO CONTRATO:</w:t>
      </w:r>
    </w:p>
    <w:p>
      <w:pPr>
        <w:pStyle w:val="CabealhoeRodap"/>
        <w:ind w:right="-2" w:hanging="0"/>
        <w:jc w:val="both"/>
        <w:rPr>
          <w:sz w:val="22"/>
          <w:szCs w:val="22"/>
        </w:rPr>
      </w:pPr>
      <w:r>
        <w:rPr>
          <w:sz w:val="22"/>
          <w:szCs w:val="22"/>
        </w:rPr>
      </w:r>
    </w:p>
    <w:p>
      <w:pPr>
        <w:pStyle w:val="CabealhoeRodap"/>
        <w:ind w:right="-2" w:hanging="0"/>
        <w:jc w:val="both"/>
        <w:rPr>
          <w:sz w:val="22"/>
          <w:szCs w:val="22"/>
        </w:rPr>
      </w:pPr>
      <w:r>
        <w:rPr>
          <w:sz w:val="22"/>
          <w:szCs w:val="22"/>
        </w:rPr>
        <w:t>1.7.1. Previsão de data em que deve ser assinado o instrumento contratual: 05/2026</w:t>
      </w:r>
    </w:p>
    <w:p>
      <w:pPr>
        <w:pStyle w:val="CabealhoeRodap"/>
        <w:ind w:right="-2" w:hanging="0"/>
        <w:jc w:val="both"/>
        <w:rPr>
          <w:sz w:val="22"/>
          <w:szCs w:val="22"/>
        </w:rPr>
      </w:pPr>
      <w:r>
        <w:rPr>
          <w:sz w:val="22"/>
          <w:szCs w:val="22"/>
        </w:rPr>
        <w:t>1.7.2. Estimada de disponibilização do bem/serviço: 05/2026</w:t>
      </w:r>
    </w:p>
    <w:p>
      <w:pPr>
        <w:pStyle w:val="CabealhoeRodap"/>
        <w:ind w:right="-2" w:hanging="0"/>
        <w:jc w:val="both"/>
        <w:rPr>
          <w:sz w:val="22"/>
          <w:szCs w:val="22"/>
        </w:rPr>
      </w:pPr>
      <w:r>
        <w:rPr>
          <w:sz w:val="22"/>
          <w:szCs w:val="22"/>
        </w:rPr>
        <w:t>1.7.3. Data início da execução: 05/2026</w:t>
      </w:r>
    </w:p>
    <w:p>
      <w:pPr>
        <w:pStyle w:val="CabealhoeRodap"/>
        <w:ind w:right="-2" w:hanging="0"/>
        <w:jc w:val="both"/>
        <w:rPr>
          <w:sz w:val="22"/>
          <w:szCs w:val="22"/>
        </w:rPr>
      </w:pPr>
      <w:r>
        <w:rPr>
          <w:sz w:val="22"/>
          <w:szCs w:val="22"/>
        </w:rPr>
        <w:t>1.7.4. Durante a vigência do contrato, a CONTRATADA fica obrigada a manter seu cadastro, endereço eletrônico, telefone e responsável pelas operações, atualizados, situação que deve ser inserida em termo de referência como obrigação da CONTRATADA.</w:t>
      </w:r>
    </w:p>
    <w:p>
      <w:pPr>
        <w:pStyle w:val="CabealhoeRodap"/>
        <w:ind w:right="-2" w:hanging="0"/>
        <w:jc w:val="both"/>
        <w:rPr>
          <w:sz w:val="22"/>
          <w:szCs w:val="22"/>
        </w:rPr>
      </w:pPr>
      <w:r>
        <w:rPr>
          <w:sz w:val="22"/>
          <w:szCs w:val="22"/>
        </w:rPr>
        <w:t>1.7.5. GARANTIA DE EXECUÇÃO: Não haverá exigência de garantia contratual da execução.</w:t>
      </w:r>
    </w:p>
    <w:p>
      <w:pPr>
        <w:pStyle w:val="CabealhoeRodap"/>
        <w:ind w:right="-2" w:hanging="0"/>
        <w:jc w:val="both"/>
        <w:rPr>
          <w:color w:val="000000"/>
          <w:sz w:val="22"/>
          <w:szCs w:val="22"/>
        </w:rPr>
      </w:pPr>
      <w:r>
        <w:rPr>
          <w:sz w:val="22"/>
          <w:szCs w:val="22"/>
        </w:rPr>
        <w:t>1.7.6. DO PAGAMENTO: Considerando que não demandara a presente contratação de exigência de garantia para execução dos serviços, não será permitido pagamento antecipado, parcial ou total, relativo a parcelas contratuais vinculadas à prestação de serviços objeto da presente contratação.</w:t>
      </w:r>
    </w:p>
    <w:p>
      <w:pPr>
        <w:pStyle w:val="CabealhoeRodap"/>
        <w:ind w:right="-2" w:hanging="0"/>
        <w:jc w:val="both"/>
        <w:rPr>
          <w:color w:val="000000"/>
          <w:sz w:val="22"/>
          <w:szCs w:val="22"/>
        </w:rPr>
      </w:pPr>
      <w:r>
        <w:rPr>
          <w:color w:val="000000"/>
          <w:sz w:val="22"/>
          <w:szCs w:val="22"/>
        </w:rPr>
      </w:r>
    </w:p>
    <w:p>
      <w:pPr>
        <w:pStyle w:val="CabealhoeRodap"/>
        <w:ind w:right="-2" w:hanging="0"/>
        <w:jc w:val="both"/>
        <w:rPr>
          <w:sz w:val="22"/>
          <w:szCs w:val="22"/>
        </w:rPr>
      </w:pPr>
      <w:r>
        <w:rPr>
          <w:b/>
          <w:color w:val="000000"/>
          <w:sz w:val="22"/>
          <w:szCs w:val="22"/>
        </w:rPr>
        <w:t>1.16. Modelo de Gestão</w:t>
      </w:r>
      <w:r>
        <w:rPr>
          <w:color w:val="000000"/>
          <w:sz w:val="22"/>
          <w:szCs w:val="22"/>
        </w:rPr>
        <w:t xml:space="preserve">: O modelo de gestão deverá ser fixado em Termo de Referência, restando nesta oportunidade indicado o fiscal e gestor do contrato como sendo os constantes da Portaria nº                                                                                                                                                                        </w:t>
      </w:r>
    </w:p>
    <w:p>
      <w:pPr>
        <w:pStyle w:val="CabealhoeRodap"/>
        <w:ind w:right="-2" w:hanging="0"/>
        <w:jc w:val="both"/>
        <w:rPr>
          <w:color w:val="000000" w:themeColor="text1"/>
          <w:sz w:val="22"/>
          <w:szCs w:val="22"/>
        </w:rPr>
      </w:pPr>
      <w:r>
        <w:rPr>
          <w:color w:val="000000" w:themeColor="text1"/>
          <w:sz w:val="22"/>
          <w:szCs w:val="22"/>
        </w:rPr>
      </w:r>
    </w:p>
    <w:p>
      <w:pPr>
        <w:pStyle w:val="Normal"/>
        <w:ind w:right="-2" w:hanging="2"/>
        <w:jc w:val="both"/>
        <w:rPr>
          <w:sz w:val="22"/>
          <w:szCs w:val="22"/>
        </w:rPr>
      </w:pPr>
      <w:r>
        <w:rPr>
          <w:color w:val="000000" w:themeColor="text1"/>
          <w:sz w:val="22"/>
          <w:szCs w:val="22"/>
        </w:rPr>
        <w:t>1</w:t>
      </w:r>
      <w:r>
        <w:rPr>
          <w:b/>
          <w:color w:val="000000" w:themeColor="text1"/>
          <w:sz w:val="22"/>
          <w:szCs w:val="22"/>
        </w:rPr>
        <w:t>.17. Fiscalização</w:t>
      </w:r>
      <w:r>
        <w:rPr>
          <w:color w:val="000000" w:themeColor="text1"/>
          <w:sz w:val="22"/>
          <w:szCs w:val="22"/>
        </w:rPr>
        <w:t xml:space="preserve">: A fiscalização e gestão do contrato deverá ser realizada pelos </w:t>
      </w:r>
      <w:r>
        <w:rPr>
          <w:sz w:val="22"/>
          <w:szCs w:val="22"/>
        </w:rPr>
        <w:t>servidores:</w:t>
      </w:r>
    </w:p>
    <w:p>
      <w:pPr>
        <w:pStyle w:val="Normal"/>
        <w:ind w:right="-2" w:hanging="0"/>
        <w:jc w:val="both"/>
        <w:rPr>
          <w:sz w:val="22"/>
          <w:szCs w:val="22"/>
        </w:rPr>
      </w:pPr>
      <w:r>
        <w:rPr>
          <w:sz w:val="22"/>
          <w:szCs w:val="22"/>
        </w:rPr>
      </w:r>
    </w:p>
    <w:tbl>
      <w:tblPr>
        <w:tblStyle w:val="Tabelacomgrade"/>
        <w:tblW w:w="9240" w:type="dxa"/>
        <w:jc w:val="left"/>
        <w:tblInd w:w="216" w:type="dxa"/>
        <w:tblLayout w:type="fixed"/>
        <w:tblCellMar>
          <w:top w:w="0" w:type="dxa"/>
          <w:left w:w="108" w:type="dxa"/>
          <w:bottom w:w="0" w:type="dxa"/>
          <w:right w:w="108" w:type="dxa"/>
        </w:tblCellMar>
        <w:tblLook w:firstRow="1" w:noVBand="1" w:lastRow="0" w:firstColumn="1" w:lastColumn="0" w:noHBand="0" w:val="04a0"/>
      </w:tblPr>
      <w:tblGrid>
        <w:gridCol w:w="3072"/>
        <w:gridCol w:w="1633"/>
        <w:gridCol w:w="4535"/>
      </w:tblGrid>
      <w:tr>
        <w:trPr>
          <w:trHeight w:val="203" w:hRule="atLeast"/>
        </w:trPr>
        <w:tc>
          <w:tcPr>
            <w:tcW w:w="3072" w:type="dxa"/>
            <w:tcBorders>
              <w:top w:val="nil"/>
              <w:left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2" w:hanging="2"/>
              <w:jc w:val="center"/>
              <w:textAlignment w:val="baseline"/>
              <w:rPr>
                <w:sz w:val="22"/>
                <w:szCs w:val="22"/>
              </w:rPr>
            </w:pPr>
            <w:r>
              <w:rPr>
                <w:rFonts w:eastAsia="SimSun" w:cs="Times New Roman"/>
                <w:b/>
                <w:bCs/>
                <w:kern w:val="2"/>
                <w:sz w:val="22"/>
                <w:szCs w:val="22"/>
                <w:lang w:val="pt-BR" w:eastAsia="zh-CN" w:bidi="hi-IN"/>
              </w:rPr>
              <w:t>SECRETARIA MUNICIPAL</w:t>
            </w:r>
          </w:p>
        </w:tc>
        <w:tc>
          <w:tcPr>
            <w:tcW w:w="1633" w:type="dxa"/>
            <w:tcBorders>
              <w:top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2" w:hanging="0"/>
              <w:jc w:val="center"/>
              <w:textAlignment w:val="baseline"/>
              <w:rPr>
                <w:sz w:val="22"/>
                <w:szCs w:val="22"/>
              </w:rPr>
            </w:pPr>
            <w:r>
              <w:rPr>
                <w:rFonts w:eastAsia="SimSun" w:cs="Times New Roman"/>
                <w:b/>
                <w:bCs/>
                <w:kern w:val="2"/>
                <w:sz w:val="22"/>
                <w:szCs w:val="22"/>
                <w:lang w:val="pt-BR" w:eastAsia="zh-CN" w:bidi="hi-IN"/>
              </w:rPr>
              <w:t>PORTARIA</w:t>
            </w:r>
          </w:p>
        </w:tc>
        <w:tc>
          <w:tcPr>
            <w:tcW w:w="4535" w:type="dxa"/>
            <w:tcBorders>
              <w:top w:val="nil"/>
              <w:bottom w:val="single" w:sz="12" w:space="0" w:color="000000"/>
              <w:right w:val="nil"/>
            </w:tcBorders>
            <w:shd w:color="auto" w:fill="DBE5F1" w:themeFill="accent1" w:themeFillTint="33" w:val="clear"/>
          </w:tcPr>
          <w:p>
            <w:pPr>
              <w:pStyle w:val="Normal"/>
              <w:widowControl w:val="false"/>
              <w:tabs>
                <w:tab w:val="clear" w:pos="720"/>
                <w:tab w:val="right" w:pos="9071" w:leader="none"/>
              </w:tabs>
              <w:spacing w:before="0" w:after="0"/>
              <w:ind w:right="-2" w:hanging="2"/>
              <w:jc w:val="center"/>
              <w:textAlignment w:val="baseline"/>
              <w:rPr>
                <w:sz w:val="22"/>
                <w:szCs w:val="22"/>
              </w:rPr>
            </w:pPr>
            <w:r>
              <w:rPr>
                <w:rFonts w:eastAsia="SimSun" w:cs="Times New Roman"/>
                <w:b/>
                <w:bCs/>
                <w:kern w:val="2"/>
                <w:sz w:val="22"/>
                <w:szCs w:val="22"/>
                <w:lang w:val="pt-BR" w:eastAsia="zh-CN" w:bidi="hi-IN"/>
              </w:rPr>
              <w:t>NOME DO SERVIDOR FISCAL TÉCNICO</w:t>
            </w:r>
          </w:p>
        </w:tc>
      </w:tr>
      <w:tr>
        <w:trPr>
          <w:trHeight w:val="203" w:hRule="atLeast"/>
        </w:trPr>
        <w:tc>
          <w:tcPr>
            <w:tcW w:w="3072" w:type="dxa"/>
            <w:tcBorders>
              <w:top w:val="single" w:sz="12" w:space="0" w:color="000000"/>
              <w:left w:val="single" w:sz="12" w:space="0" w:color="000000"/>
              <w:bottom w:val="single" w:sz="12" w:space="0" w:color="000000"/>
              <w:right w:val="nil"/>
            </w:tcBorders>
            <w:shd w:color="auto" w:fill="auto" w:val="clear"/>
          </w:tcPr>
          <w:p>
            <w:pPr>
              <w:pStyle w:val="Normal"/>
              <w:widowControl w:val="false"/>
              <w:tabs>
                <w:tab w:val="clear" w:pos="720"/>
                <w:tab w:val="right" w:pos="9071" w:leader="none"/>
              </w:tabs>
              <w:spacing w:before="0" w:after="0"/>
              <w:ind w:right="-2" w:hanging="2"/>
              <w:jc w:val="center"/>
              <w:textAlignment w:val="baseline"/>
              <w:rPr>
                <w:b/>
                <w:sz w:val="22"/>
                <w:szCs w:val="22"/>
              </w:rPr>
            </w:pPr>
            <w:r>
              <w:rPr>
                <w:rFonts w:eastAsia="SimSun" w:cs="Times New Roman"/>
                <w:b/>
                <w:kern w:val="2"/>
                <w:sz w:val="22"/>
                <w:szCs w:val="22"/>
                <w:lang w:val="pt-BR" w:eastAsia="zh-CN" w:bidi="hi-IN"/>
              </w:rPr>
              <w:t>DE ASSISTÊNCIA SOCIAL</w:t>
            </w:r>
          </w:p>
        </w:tc>
        <w:tc>
          <w:tcPr>
            <w:tcW w:w="1633" w:type="dxa"/>
            <w:tcBorders>
              <w:top w:val="single" w:sz="12" w:space="0" w:color="000000"/>
              <w:left w:val="nil"/>
              <w:bottom w:val="single" w:sz="12" w:space="0" w:color="000000"/>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2"/>
                <w:szCs w:val="22"/>
              </w:rPr>
            </w:pPr>
            <w:r>
              <w:rPr>
                <w:rFonts w:eastAsia="SimSun" w:cs="Times New Roman"/>
                <w:kern w:val="2"/>
                <w:sz w:val="22"/>
                <w:szCs w:val="22"/>
                <w:lang w:val="pt-BR" w:eastAsia="zh-CN" w:bidi="hi-IN"/>
              </w:rPr>
              <w:t>2.411/2026</w:t>
            </w:r>
          </w:p>
        </w:tc>
        <w:tc>
          <w:tcPr>
            <w:tcW w:w="4535" w:type="dxa"/>
            <w:tcBorders>
              <w:top w:val="single" w:sz="12" w:space="0" w:color="000000"/>
              <w:left w:val="nil"/>
              <w:bottom w:val="single" w:sz="12" w:space="0" w:color="000000"/>
              <w:right w:val="single" w:sz="12" w:space="0" w:color="000000"/>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2"/>
                <w:szCs w:val="22"/>
              </w:rPr>
            </w:pPr>
            <w:r>
              <w:rPr>
                <w:rFonts w:eastAsia="Times New Roman" w:cs="Times New Roman"/>
                <w:kern w:val="0"/>
                <w:sz w:val="22"/>
                <w:szCs w:val="22"/>
                <w:lang w:val="pt-BR" w:eastAsia="pt-BR" w:bidi="ar-SA"/>
              </w:rPr>
              <w:t>CIRLEI SOCORRO JUSTO DOS SANTOS</w:t>
            </w:r>
          </w:p>
        </w:tc>
      </w:tr>
    </w:tbl>
    <w:p>
      <w:pPr>
        <w:pStyle w:val="Normal"/>
        <w:ind w:right="-2" w:hanging="0"/>
        <w:jc w:val="both"/>
        <w:rPr>
          <w:sz w:val="22"/>
          <w:szCs w:val="22"/>
        </w:rPr>
      </w:pPr>
      <w:r>
        <w:rPr>
          <w:sz w:val="22"/>
          <w:szCs w:val="22"/>
        </w:rPr>
      </w:r>
    </w:p>
    <w:tbl>
      <w:tblPr>
        <w:tblStyle w:val="Tabelacomgrade"/>
        <w:tblW w:w="9240" w:type="dxa"/>
        <w:jc w:val="left"/>
        <w:tblInd w:w="216" w:type="dxa"/>
        <w:tblLayout w:type="fixed"/>
        <w:tblCellMar>
          <w:top w:w="0" w:type="dxa"/>
          <w:left w:w="108" w:type="dxa"/>
          <w:bottom w:w="0" w:type="dxa"/>
          <w:right w:w="108" w:type="dxa"/>
        </w:tblCellMar>
        <w:tblLook w:firstRow="1" w:noVBand="1" w:lastRow="0" w:firstColumn="1" w:lastColumn="0" w:noHBand="0" w:val="04a0"/>
      </w:tblPr>
      <w:tblGrid>
        <w:gridCol w:w="3072"/>
        <w:gridCol w:w="1633"/>
        <w:gridCol w:w="4535"/>
      </w:tblGrid>
      <w:tr>
        <w:trPr>
          <w:trHeight w:val="203" w:hRule="atLeast"/>
        </w:trPr>
        <w:tc>
          <w:tcPr>
            <w:tcW w:w="3072" w:type="dxa"/>
            <w:tcBorders>
              <w:top w:val="nil"/>
              <w:left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2" w:hanging="2"/>
              <w:jc w:val="center"/>
              <w:textAlignment w:val="baseline"/>
              <w:rPr>
                <w:sz w:val="22"/>
                <w:szCs w:val="22"/>
              </w:rPr>
            </w:pPr>
            <w:r>
              <w:rPr>
                <w:rFonts w:eastAsia="SimSun" w:cs="Times New Roman"/>
                <w:b/>
                <w:bCs/>
                <w:kern w:val="2"/>
                <w:sz w:val="22"/>
                <w:szCs w:val="22"/>
                <w:lang w:val="pt-BR" w:eastAsia="zh-CN" w:bidi="hi-IN"/>
              </w:rPr>
              <w:t>SECRETARIA MUNICIPAL</w:t>
            </w:r>
          </w:p>
        </w:tc>
        <w:tc>
          <w:tcPr>
            <w:tcW w:w="1633" w:type="dxa"/>
            <w:tcBorders>
              <w:top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2" w:hanging="0"/>
              <w:jc w:val="center"/>
              <w:textAlignment w:val="baseline"/>
              <w:rPr>
                <w:sz w:val="22"/>
                <w:szCs w:val="22"/>
              </w:rPr>
            </w:pPr>
            <w:r>
              <w:rPr>
                <w:rFonts w:eastAsia="SimSun" w:cs="Times New Roman"/>
                <w:b/>
                <w:bCs/>
                <w:kern w:val="2"/>
                <w:sz w:val="22"/>
                <w:szCs w:val="22"/>
                <w:lang w:val="pt-BR" w:eastAsia="zh-CN" w:bidi="hi-IN"/>
              </w:rPr>
              <w:t>PORTARIA</w:t>
            </w:r>
          </w:p>
        </w:tc>
        <w:tc>
          <w:tcPr>
            <w:tcW w:w="4535" w:type="dxa"/>
            <w:tcBorders>
              <w:top w:val="nil"/>
              <w:bottom w:val="single" w:sz="12" w:space="0" w:color="000000"/>
              <w:right w:val="nil"/>
            </w:tcBorders>
            <w:shd w:color="auto" w:fill="DBE5F1" w:themeFill="accent1" w:themeFillTint="33" w:val="clear"/>
          </w:tcPr>
          <w:p>
            <w:pPr>
              <w:pStyle w:val="Normal"/>
              <w:widowControl w:val="false"/>
              <w:tabs>
                <w:tab w:val="clear" w:pos="720"/>
                <w:tab w:val="right" w:pos="9071" w:leader="none"/>
              </w:tabs>
              <w:spacing w:before="0" w:after="0"/>
              <w:ind w:right="-2" w:hanging="2"/>
              <w:jc w:val="center"/>
              <w:textAlignment w:val="baseline"/>
              <w:rPr>
                <w:sz w:val="22"/>
                <w:szCs w:val="22"/>
              </w:rPr>
            </w:pPr>
            <w:r>
              <w:rPr>
                <w:rFonts w:eastAsia="SimSun" w:cs="Times New Roman"/>
                <w:b/>
                <w:bCs/>
                <w:kern w:val="2"/>
                <w:sz w:val="22"/>
                <w:szCs w:val="22"/>
                <w:lang w:val="pt-BR" w:eastAsia="zh-CN" w:bidi="hi-IN"/>
              </w:rPr>
              <w:t>NOME DO SERVIDOR GESTOR</w:t>
            </w:r>
          </w:p>
        </w:tc>
      </w:tr>
      <w:tr>
        <w:trPr>
          <w:trHeight w:val="203" w:hRule="atLeast"/>
        </w:trPr>
        <w:tc>
          <w:tcPr>
            <w:tcW w:w="3072" w:type="dxa"/>
            <w:tcBorders>
              <w:top w:val="single" w:sz="12" w:space="0" w:color="000000"/>
              <w:left w:val="single" w:sz="12" w:space="0" w:color="000000"/>
              <w:bottom w:val="single" w:sz="12" w:space="0" w:color="000000"/>
              <w:right w:val="nil"/>
            </w:tcBorders>
            <w:shd w:color="auto" w:fill="auto" w:val="clear"/>
          </w:tcPr>
          <w:p>
            <w:pPr>
              <w:pStyle w:val="Normal"/>
              <w:widowControl w:val="false"/>
              <w:tabs>
                <w:tab w:val="clear" w:pos="720"/>
                <w:tab w:val="right" w:pos="9071" w:leader="none"/>
              </w:tabs>
              <w:spacing w:before="0" w:after="0"/>
              <w:ind w:right="-2" w:hanging="2"/>
              <w:jc w:val="center"/>
              <w:textAlignment w:val="baseline"/>
              <w:rPr>
                <w:b/>
                <w:sz w:val="22"/>
                <w:szCs w:val="22"/>
              </w:rPr>
            </w:pPr>
            <w:r>
              <w:rPr>
                <w:rFonts w:eastAsia="SimSun" w:cs="Times New Roman"/>
                <w:b/>
                <w:kern w:val="2"/>
                <w:sz w:val="22"/>
                <w:szCs w:val="22"/>
                <w:lang w:val="pt-BR" w:eastAsia="zh-CN" w:bidi="hi-IN"/>
              </w:rPr>
              <w:t>DE ASSISTÊNCIA SOCIAL</w:t>
            </w:r>
          </w:p>
        </w:tc>
        <w:tc>
          <w:tcPr>
            <w:tcW w:w="1633" w:type="dxa"/>
            <w:tcBorders>
              <w:top w:val="single" w:sz="12" w:space="0" w:color="000000"/>
              <w:left w:val="nil"/>
              <w:bottom w:val="single" w:sz="12" w:space="0" w:color="000000"/>
              <w:right w:val="nil"/>
            </w:tcBorders>
            <w:shd w:color="auto" w:fill="FFFFFF" w:themeFill="background1" w:val="clear"/>
          </w:tcPr>
          <w:p>
            <w:pPr>
              <w:pStyle w:val="Normal"/>
              <w:widowControl w:val="false"/>
              <w:tabs>
                <w:tab w:val="clear" w:pos="720"/>
                <w:tab w:val="right" w:pos="9071" w:leader="none"/>
              </w:tabs>
              <w:spacing w:before="0" w:after="0"/>
              <w:ind w:right="-2" w:hanging="2"/>
              <w:jc w:val="both"/>
              <w:textAlignment w:val="baseline"/>
              <w:rPr>
                <w:sz w:val="22"/>
                <w:szCs w:val="22"/>
              </w:rPr>
            </w:pPr>
            <w:r>
              <w:rPr>
                <w:rFonts w:eastAsia="SimSun" w:cs="Times New Roman"/>
                <w:kern w:val="2"/>
                <w:sz w:val="22"/>
                <w:szCs w:val="22"/>
                <w:lang w:val="pt-BR" w:eastAsia="zh-CN" w:bidi="hi-IN"/>
              </w:rPr>
              <w:t>2.411/2026</w:t>
            </w:r>
          </w:p>
        </w:tc>
        <w:tc>
          <w:tcPr>
            <w:tcW w:w="4535" w:type="dxa"/>
            <w:tcBorders>
              <w:top w:val="single" w:sz="12" w:space="0" w:color="000000"/>
              <w:left w:val="nil"/>
              <w:bottom w:val="single" w:sz="12" w:space="0" w:color="000000"/>
              <w:right w:val="single" w:sz="12" w:space="0" w:color="000000"/>
            </w:tcBorders>
            <w:shd w:color="auto" w:fill="FFFFFF" w:themeFill="background1" w:val="clear"/>
          </w:tcPr>
          <w:p>
            <w:pPr>
              <w:pStyle w:val="Normal"/>
              <w:widowControl w:val="false"/>
              <w:tabs>
                <w:tab w:val="clear" w:pos="720"/>
                <w:tab w:val="right" w:pos="9071" w:leader="none"/>
              </w:tabs>
              <w:spacing w:before="0" w:after="0"/>
              <w:ind w:right="-2" w:hanging="2"/>
              <w:jc w:val="center"/>
              <w:textAlignment w:val="baseline"/>
              <w:rPr>
                <w:sz w:val="22"/>
                <w:szCs w:val="22"/>
              </w:rPr>
            </w:pPr>
            <w:r>
              <w:rPr>
                <w:rFonts w:eastAsia="Times New Roman" w:cs="Times New Roman"/>
                <w:kern w:val="0"/>
                <w:sz w:val="22"/>
                <w:szCs w:val="22"/>
                <w:lang w:val="pt-BR" w:eastAsia="pt-BR" w:bidi="ar-SA"/>
              </w:rPr>
              <w:t>ROSIANE CRISTINA VIEIRA NÉIA STORTI</w:t>
            </w:r>
          </w:p>
        </w:tc>
      </w:tr>
    </w:tbl>
    <w:p>
      <w:pPr>
        <w:pStyle w:val="Normal"/>
        <w:ind w:right="-2" w:hanging="0"/>
        <w:jc w:val="both"/>
        <w:rPr>
          <w:color w:val="000000" w:themeColor="text1"/>
          <w:sz w:val="22"/>
          <w:szCs w:val="22"/>
        </w:rPr>
      </w:pPr>
      <w:r>
        <w:rPr>
          <w:color w:val="000000" w:themeColor="text1"/>
          <w:sz w:val="22"/>
          <w:szCs w:val="22"/>
        </w:rPr>
      </w:r>
    </w:p>
    <w:p>
      <w:pPr>
        <w:pStyle w:val="Normal"/>
        <w:ind w:right="-2" w:hanging="0"/>
        <w:jc w:val="both"/>
        <w:rPr>
          <w:color w:val="000000" w:themeColor="text1"/>
          <w:sz w:val="22"/>
          <w:szCs w:val="22"/>
        </w:rPr>
      </w:pPr>
      <w:r>
        <w:rPr>
          <w:color w:val="000000" w:themeColor="text1"/>
          <w:sz w:val="22"/>
          <w:szCs w:val="22"/>
        </w:rPr>
      </w:r>
    </w:p>
    <w:p>
      <w:pPr>
        <w:pStyle w:val="Normal"/>
        <w:ind w:right="-2" w:hanging="2"/>
        <w:jc w:val="both"/>
        <w:rPr>
          <w:b/>
          <w:color w:val="000000" w:themeColor="text1"/>
          <w:sz w:val="22"/>
          <w:szCs w:val="22"/>
        </w:rPr>
      </w:pPr>
      <w:r>
        <w:rPr>
          <w:b/>
          <w:color w:val="000000" w:themeColor="text1"/>
          <w:sz w:val="22"/>
          <w:szCs w:val="22"/>
        </w:rPr>
        <w:t>1.18. Do sigilo das informações e da proteção a dados pessoais</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t>1.18.1. Em cumprimento ao disposto na Lei nº 13.709/2018 (Lei Geral de Proteção de Dados – LGPD), na Lei nº 14.133/2021 e demais normas correlatas, a CONTRATADA deverá:</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t>a) Manter sigilo absoluto sobre todas as informações, dados, documentos e especificações técnicas obtidas em razão da execução contratual, abstendo-se de divulgá-los, repassá-los ou utilizá-los para qualquer finalidade diversa daquela prevista no contrato;</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t>b) Adotar medidas técnicas e administrativas aptas a proteger os dados pessoais eventualmente tratados durante a execução do contrato, prevenindo acessos não autorizados e situações acidentais ou ilícitas de destruição, perda, alteração, comunicação ou difusão de dados;</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t>c) Garantir que seus empregados, prepostos e subcontratados (quando autorizados) observem as mesmas obrigações de sigilo e proteção de dados, respondendo integralmente por eventuais infrações;</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t>d) Notificar imediatamente a Administração Pública sobre qualquer incidente de segurança envolvendo dados pessoais ou informações sigilosas, colaborando com a apuração e a adoção de medidas corretivas;</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t>e) Restituir ou destruir, ao término da execução contratual, todos os documentos e informações obtidos, em conformidade com as orientações da CONTRATANTE e a legislação vigente, salvo quando a guarda for exigida por lei.</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t>O descumprimento destas obrigações sujeitará a CONTRATADA às sanções previstas em contrato, na Lei nº 14.133/2021, na LGPD e na legislação aplicável, sem prejuízo da reparação por eventuais danos causados à Administração Pública ou a terceiros.</w:t>
      </w:r>
    </w:p>
    <w:p>
      <w:pPr>
        <w:pStyle w:val="Normal"/>
        <w:ind w:right="-2" w:hanging="2"/>
        <w:jc w:val="both"/>
        <w:rPr>
          <w:color w:val="000000" w:themeColor="text1"/>
          <w:sz w:val="22"/>
          <w:szCs w:val="22"/>
        </w:rPr>
      </w:pPr>
      <w:r>
        <w:rPr>
          <w:color w:val="000000" w:themeColor="text1"/>
          <w:sz w:val="22"/>
          <w:szCs w:val="22"/>
        </w:rPr>
      </w:r>
    </w:p>
    <w:p>
      <w:pPr>
        <w:pStyle w:val="Normal"/>
        <w:ind w:right="-2" w:hanging="2"/>
        <w:jc w:val="both"/>
        <w:rPr>
          <w:color w:val="000000" w:themeColor="text1"/>
          <w:sz w:val="22"/>
          <w:szCs w:val="22"/>
        </w:rPr>
      </w:pPr>
      <w:r>
        <w:rPr>
          <w:color w:val="000000" w:themeColor="text1"/>
          <w:sz w:val="22"/>
          <w:szCs w:val="22"/>
        </w:rPr>
      </w:r>
    </w:p>
    <w:p>
      <w:pPr>
        <w:pStyle w:val="CabealhoeRodap"/>
        <w:shd w:val="clear" w:color="auto" w:fill="8DB3E2" w:themeFill="text2" w:themeFillTint="66"/>
        <w:ind w:right="-2" w:hanging="0"/>
        <w:rPr>
          <w:b/>
          <w:bCs/>
          <w:sz w:val="22"/>
          <w:szCs w:val="22"/>
          <w:shd w:fill="B4C7DC" w:val="clear"/>
        </w:rPr>
      </w:pPr>
      <w:r>
        <w:rPr>
          <w:b/>
          <w:bCs/>
          <w:sz w:val="22"/>
          <w:szCs w:val="22"/>
          <w:shd w:fill="B4C7DC" w:val="clear"/>
        </w:rPr>
        <w:t xml:space="preserve">2 . Justificativas para o parcelamento ou não da contratação (artigo 15,§1º, VIII do Decreto nº </w:t>
      </w:r>
      <w:r>
        <w:rPr>
          <w:b/>
          <w:bCs/>
          <w:sz w:val="22"/>
          <w:szCs w:val="22"/>
          <w:shd w:fill="auto" w:val="clear"/>
        </w:rPr>
        <w:t xml:space="preserve">3.537/2023): </w:t>
      </w:r>
    </w:p>
    <w:p>
      <w:pPr>
        <w:pStyle w:val="Normal"/>
        <w:ind w:right="-2" w:hanging="0"/>
        <w:jc w:val="both"/>
        <w:rPr>
          <w:highlight w:val="none"/>
          <w:shd w:fill="auto" w:val="clear"/>
        </w:rPr>
      </w:pPr>
      <w:r>
        <w:rPr>
          <w:color w:val="FF0000"/>
          <w:sz w:val="22"/>
          <w:szCs w:val="22"/>
          <w:shd w:fill="auto" w:val="clear"/>
        </w:rPr>
        <w:t xml:space="preserve"> </w:t>
      </w:r>
      <w:r>
        <w:rPr>
          <w:color w:val="FF0000"/>
          <w:sz w:val="22"/>
          <w:szCs w:val="22"/>
          <w:shd w:fill="auto" w:val="clear"/>
        </w:rPr>
        <w:tab/>
      </w:r>
    </w:p>
    <w:p>
      <w:pPr>
        <w:pStyle w:val="Normal"/>
        <w:ind w:right="-2" w:hanging="0"/>
        <w:jc w:val="both"/>
        <w:rPr>
          <w:highlight w:val="none"/>
          <w:shd w:fill="auto" w:val="clear"/>
        </w:rPr>
      </w:pPr>
      <w:r>
        <w:rPr>
          <w:sz w:val="22"/>
          <w:szCs w:val="22"/>
          <w:shd w:fill="auto" w:val="clear"/>
        </w:rPr>
        <w:t>2.1 Conforme consta no levantamento de preços, solicitados as empresas, foram apresentados orçamentos para todos os itens que compõem o kit. Dessa forma, optou-se por manter todos os componentes reunidos em um único item. Assim, a empresa vencedora será responsável pelo fornecimento da totalidade dos alimentos que integram o kit, evitando que corrompa o padrão de qualidade dos produtos, devendo ainda realizar a devida embalagem dos mesmos. Considera-se que a divisão de itens não é vantajosa para a Administração, e</w:t>
      </w:r>
      <w:r>
        <w:rPr>
          <w:b w:val="false"/>
          <w:bCs w:val="false"/>
          <w:sz w:val="22"/>
          <w:szCs w:val="22"/>
          <w:shd w:fill="auto" w:val="clear"/>
        </w:rPr>
        <w:t>stando em conformidade com os princípios da eficiência, economicidade e interesse público previstos na Lei nº 14.133/2021.</w:t>
      </w:r>
    </w:p>
    <w:p>
      <w:pPr>
        <w:pStyle w:val="Normal"/>
        <w:ind w:right="-2" w:hanging="0"/>
        <w:jc w:val="both"/>
        <w:rPr>
          <w:bCs/>
        </w:rPr>
      </w:pPr>
      <w:r>
        <w:rPr>
          <w:bCs/>
        </w:rPr>
      </w:r>
    </w:p>
    <w:p>
      <w:pPr>
        <w:pStyle w:val="ListParagraph"/>
        <w:shd w:val="clear" w:color="auto" w:fill="8DB3E2" w:themeFill="text2" w:themeFillTint="66"/>
        <w:ind w:left="0" w:right="-2" w:hanging="0"/>
        <w:rPr>
          <w:sz w:val="22"/>
          <w:szCs w:val="22"/>
        </w:rPr>
      </w:pPr>
      <w:r>
        <w:rPr>
          <w:b/>
          <w:bCs/>
          <w:sz w:val="22"/>
          <w:szCs w:val="22"/>
          <w:shd w:fill="B4C7DC" w:val="clear"/>
        </w:rPr>
        <w:t>3- Contratações correlatas e/ou interdependentes (art. 15, §1º, XI do Decreto nº3.537/2023):</w:t>
      </w:r>
    </w:p>
    <w:p>
      <w:pPr>
        <w:pStyle w:val="Normal"/>
        <w:ind w:right="-2" w:hanging="0"/>
        <w:jc w:val="both"/>
        <w:rPr>
          <w:b/>
          <w:bCs/>
          <w:sz w:val="22"/>
          <w:szCs w:val="22"/>
        </w:rPr>
      </w:pPr>
      <w:r>
        <w:rPr>
          <w:b/>
          <w:bCs/>
          <w:sz w:val="22"/>
          <w:szCs w:val="22"/>
        </w:rPr>
      </w:r>
    </w:p>
    <w:p>
      <w:pPr>
        <w:pStyle w:val="ListParagraph"/>
        <w:numPr>
          <w:ilvl w:val="1"/>
          <w:numId w:val="5"/>
        </w:numPr>
        <w:ind w:left="360" w:right="-2" w:hanging="360"/>
        <w:jc w:val="both"/>
        <w:rPr>
          <w:bCs/>
          <w:sz w:val="22"/>
          <w:szCs w:val="22"/>
        </w:rPr>
      </w:pPr>
      <w:r>
        <w:rPr>
          <w:bCs/>
          <w:sz w:val="22"/>
          <w:szCs w:val="22"/>
        </w:rPr>
        <w:t>Não se faz necessária a realização de contratações correlatas e/ou interdependentes para que o objetivo desta contratação seja atingido.</w:t>
      </w:r>
    </w:p>
    <w:p>
      <w:pPr>
        <w:pStyle w:val="ListParagraph"/>
        <w:ind w:left="360" w:right="-2" w:hanging="0"/>
        <w:jc w:val="both"/>
        <w:rPr>
          <w:bCs/>
          <w:sz w:val="22"/>
          <w:szCs w:val="22"/>
        </w:rPr>
      </w:pPr>
      <w:r>
        <w:rPr>
          <w:bCs/>
          <w:sz w:val="22"/>
          <w:szCs w:val="22"/>
        </w:rPr>
      </w:r>
    </w:p>
    <w:p>
      <w:pPr>
        <w:pStyle w:val="ListParagraph"/>
        <w:shd w:val="clear" w:color="auto" w:fill="8DB3E2" w:themeFill="text2" w:themeFillTint="66"/>
        <w:ind w:left="0" w:right="-2" w:hanging="0"/>
        <w:rPr>
          <w:sz w:val="22"/>
          <w:szCs w:val="22"/>
        </w:rPr>
      </w:pPr>
      <w:r>
        <w:rPr>
          <w:b/>
          <w:bCs/>
          <w:sz w:val="22"/>
          <w:szCs w:val="22"/>
          <w:shd w:fill="B4C7DC" w:val="clear"/>
        </w:rPr>
        <w:t>4- Resultados pretendidos (art. 15, §1º, IX do Decreto nº 3.537/2023):</w:t>
      </w:r>
    </w:p>
    <w:p>
      <w:pPr>
        <w:pStyle w:val="Normal"/>
        <w:suppressAutoHyphens w:val="true"/>
        <w:spacing w:beforeAutospacing="1" w:afterAutospacing="1"/>
        <w:jc w:val="both"/>
        <w:rPr>
          <w:sz w:val="22"/>
        </w:rPr>
      </w:pPr>
      <w:r>
        <w:rPr>
          <w:sz w:val="22"/>
        </w:rPr>
        <w:t>A contratação para fornecimento de kits de lanches prontos para consumo imediato tem como objetivo gerar ganhos concretos à Administração Pública, tanto sob o aspecto da economicidade quanto da eficiência na utilização dos recursos humanos, materiais e financeiros, conforme demonstrado no Documento de Formalização de Demanda elaborado pela Secretaria Municipal de Assistência Social.</w:t>
      </w:r>
    </w:p>
    <w:p>
      <w:pPr>
        <w:pStyle w:val="Normal"/>
        <w:suppressAutoHyphens w:val="true"/>
        <w:spacing w:beforeAutospacing="1" w:afterAutospacing="1"/>
        <w:jc w:val="both"/>
        <w:rPr>
          <w:sz w:val="22"/>
        </w:rPr>
      </w:pPr>
      <w:r>
        <w:rPr>
          <w:sz w:val="22"/>
        </w:rPr>
        <w:t>Sob a ótica da economicidade, a solução proposta permite a padronização dos itens fornecidos, reduzindo aquisições fragmentadas e contratações emergenciais que, em regra, apresentam custos superiores e menor controle administrativo. A definição prévia de quantitativos, especificações técnicas e valor médio de mercado contribui para a obtenção de preços mais vantajosos por meio da disputa competitiva, além de possibilitar melhor previsibilidade orçamentária e planejamento financeiro. A contratação centralizada também reduz despesas indiretas relacionadas à logística improvisada, compras de última hora e desperdício de alimentos decorrente da ausência de planejamento.</w:t>
      </w:r>
    </w:p>
    <w:p>
      <w:pPr>
        <w:pStyle w:val="Normal"/>
        <w:suppressAutoHyphens w:val="true"/>
        <w:spacing w:beforeAutospacing="1" w:afterAutospacing="1"/>
        <w:jc w:val="both"/>
        <w:rPr>
          <w:sz w:val="22"/>
        </w:rPr>
      </w:pPr>
      <w:r>
        <w:rPr>
          <w:sz w:val="22"/>
        </w:rPr>
        <w:t>No que se refere à racionalização dos recursos humanos, a solução elimina a necessidade de que servidores da Secretaria de Assistência Social realizem aquisições individuais, montagem manual de lanches ou organização logística paralela durante a execução das atividades socio assistenciais. Com os kits já montados pela empresa contratada, a equipe técnica poderá concentrar seus esforços nas atividades finalísticas como oficinas, cursos de qualificação profissional, atendimentos coletivos e ações de proteção social aumentando a produtividade institucional e a qualidade do atendimento aos usuários. Essa medida reduz retrabalho administrativo, otimiza o tempo das equipes e contribui para a eficiência operacional dos serviços prestados, além de reduzir a necessidade de aumentar a equipe, gerando gastos extras em folhas de pagamento ou semelhante.</w:t>
      </w:r>
    </w:p>
    <w:p>
      <w:pPr>
        <w:pStyle w:val="Normal"/>
        <w:suppressAutoHyphens w:val="true"/>
        <w:spacing w:beforeAutospacing="1" w:afterAutospacing="1"/>
        <w:jc w:val="both"/>
        <w:rPr>
          <w:sz w:val="22"/>
        </w:rPr>
      </w:pPr>
      <w:r>
        <w:rPr>
          <w:sz w:val="22"/>
        </w:rPr>
        <w:t>Quanto ao melhor aproveitamento dos recursos materiais, a contratação de kits padronizados assegura uniformidade na composição dos lanches, controle de validade e melhor gestão do estoque, evitando aquisições em excesso ou inadequadas às necessidades reais das atividades. A embalagem individual lacrada e o fornecimento sob demanda diminuem perdas por armazenamento inadequado e facilitam a distribuição direta aos participantes, fortalecendo a organização logística das ações socio assistenciais.</w:t>
      </w:r>
    </w:p>
    <w:p>
      <w:pPr>
        <w:pStyle w:val="Normal"/>
        <w:suppressAutoHyphens w:val="true"/>
        <w:spacing w:beforeAutospacing="1" w:afterAutospacing="1"/>
        <w:jc w:val="both"/>
        <w:rPr>
          <w:sz w:val="22"/>
        </w:rPr>
      </w:pPr>
      <w:r>
        <w:rPr>
          <w:sz w:val="22"/>
        </w:rPr>
        <w:t>Sob o aspecto do aproveitamento dos recursos financeiros, a solução possibilita maior controle dos gastos públicos, uma vez que a Administração terá parâmetros claros de custo por unidade, permitindo monitoramento constante da execução contratual e prevenção de despesas não planejadas. Além disso, a previsibilidade dos custos auxilia na gestão dos recursos vinculados aos blocos de financiamento do SUAS e demais fontes orçamentárias indicadas no DFD, promovendo melhor alinhamento entre planejamento e execução das políticas públicas.</w:t>
      </w:r>
    </w:p>
    <w:p>
      <w:pPr>
        <w:pStyle w:val="Normal"/>
        <w:suppressAutoHyphens w:val="true"/>
        <w:spacing w:beforeAutospacing="1" w:afterAutospacing="1"/>
        <w:jc w:val="both"/>
        <w:rPr>
          <w:sz w:val="22"/>
        </w:rPr>
      </w:pPr>
      <w:r>
        <w:rPr>
          <w:sz w:val="22"/>
        </w:rPr>
        <w:t>Como resultados institucionais pretendidos, destacam-se:</w:t>
      </w:r>
    </w:p>
    <w:p>
      <w:pPr>
        <w:pStyle w:val="ListParagraph"/>
        <w:numPr>
          <w:ilvl w:val="0"/>
          <w:numId w:val="12"/>
        </w:numPr>
        <w:suppressAutoHyphens w:val="true"/>
        <w:spacing w:beforeAutospacing="1" w:after="0"/>
        <w:contextualSpacing/>
        <w:jc w:val="both"/>
        <w:rPr>
          <w:sz w:val="22"/>
        </w:rPr>
      </w:pPr>
      <w:r>
        <w:rPr>
          <w:sz w:val="22"/>
        </w:rPr>
        <w:t>Ampliação da eficiência administrativa na execução das atividades socio assistenciais;</w:t>
      </w:r>
    </w:p>
    <w:p>
      <w:pPr>
        <w:pStyle w:val="ListParagraph"/>
        <w:numPr>
          <w:ilvl w:val="0"/>
          <w:numId w:val="12"/>
        </w:numPr>
        <w:suppressAutoHyphens w:val="true"/>
        <w:spacing w:before="0" w:after="0"/>
        <w:contextualSpacing/>
        <w:jc w:val="both"/>
        <w:rPr>
          <w:sz w:val="22"/>
        </w:rPr>
      </w:pPr>
      <w:r>
        <w:rPr>
          <w:sz w:val="22"/>
        </w:rPr>
        <w:t>Melhoria do acolhimento e permanência dos usuários nas ações desenvolvidas pela Secretaria;</w:t>
      </w:r>
    </w:p>
    <w:p>
      <w:pPr>
        <w:pStyle w:val="ListParagraph"/>
        <w:numPr>
          <w:ilvl w:val="0"/>
          <w:numId w:val="12"/>
        </w:numPr>
        <w:suppressAutoHyphens w:val="true"/>
        <w:spacing w:before="0" w:after="0"/>
        <w:contextualSpacing/>
        <w:jc w:val="both"/>
        <w:rPr>
          <w:sz w:val="22"/>
        </w:rPr>
      </w:pPr>
      <w:r>
        <w:rPr>
          <w:sz w:val="22"/>
        </w:rPr>
        <w:t>Redução de custos operacionais indiretos decorrentes de soluções improvisadas;</w:t>
      </w:r>
    </w:p>
    <w:p>
      <w:pPr>
        <w:pStyle w:val="ListParagraph"/>
        <w:numPr>
          <w:ilvl w:val="0"/>
          <w:numId w:val="12"/>
        </w:numPr>
        <w:suppressAutoHyphens w:val="true"/>
        <w:spacing w:before="0" w:after="0"/>
        <w:contextualSpacing/>
        <w:jc w:val="both"/>
        <w:rPr>
          <w:sz w:val="22"/>
        </w:rPr>
      </w:pPr>
      <w:r>
        <w:rPr>
          <w:sz w:val="22"/>
        </w:rPr>
        <w:t>Padronização e segurança alimentar dos produtos fornecidos;</w:t>
      </w:r>
    </w:p>
    <w:p>
      <w:pPr>
        <w:pStyle w:val="ListParagraph"/>
        <w:numPr>
          <w:ilvl w:val="0"/>
          <w:numId w:val="12"/>
        </w:numPr>
        <w:suppressAutoHyphens w:val="true"/>
        <w:spacing w:before="0" w:afterAutospacing="1"/>
        <w:contextualSpacing/>
        <w:jc w:val="both"/>
        <w:rPr>
          <w:sz w:val="22"/>
        </w:rPr>
      </w:pPr>
      <w:r>
        <w:rPr>
          <w:sz w:val="22"/>
        </w:rPr>
        <w:t>Fortalecimento do planejamento orçamentário e da transparência na aplicação dos recursos públicos</w:t>
      </w:r>
    </w:p>
    <w:p>
      <w:pPr>
        <w:pStyle w:val="Normal"/>
        <w:suppressAutoHyphens w:val="true"/>
        <w:spacing w:beforeAutospacing="1" w:afterAutospacing="1"/>
        <w:ind w:left="360" w:hanging="0"/>
        <w:jc w:val="both"/>
        <w:rPr>
          <w:sz w:val="22"/>
        </w:rPr>
      </w:pPr>
      <w:r>
        <w:rPr>
          <w:sz w:val="22"/>
        </w:rPr>
        <w:t>Dessa forma, a contratação alinha-se às diretrizes da Lei nº 14.133/2021 e da Instrução Normativa SEGES nº 58/2022, demonstrando que a solução proposta não apenas atende à necessidade identificada, mas também promove ganhos mensuráveis em economicidade, eficiência administrativa e melhor aproveitamento dos recursos disponíveis, contribuindo para a efetividade das políticas públicas de assistência social no Município de Bandeirantes/PR.</w:t>
      </w:r>
    </w:p>
    <w:p>
      <w:pPr>
        <w:pStyle w:val="CabealhoeRodap"/>
        <w:shd w:val="clear" w:color="auto" w:fill="8DB3E2" w:themeFill="text2" w:themeFillTint="66"/>
        <w:ind w:right="-2" w:hanging="0"/>
        <w:jc w:val="both"/>
        <w:rPr>
          <w:sz w:val="22"/>
          <w:szCs w:val="22"/>
        </w:rPr>
      </w:pPr>
      <w:r>
        <w:rPr>
          <w:sz w:val="22"/>
          <w:szCs w:val="22"/>
          <w:shd w:fill="B4C7DC" w:val="clear"/>
        </w:rPr>
        <w:t xml:space="preserve">5- </w:t>
      </w:r>
      <w:r>
        <w:rPr>
          <w:b/>
          <w:bCs/>
          <w:sz w:val="22"/>
          <w:szCs w:val="22"/>
          <w:shd w:fill="B4C7DC" w:val="clear"/>
        </w:rPr>
        <w:t>Providências a serem adotadas (art. 15, §1º, X do Decreto nº 3.537/2023):</w:t>
      </w:r>
    </w:p>
    <w:p>
      <w:pPr>
        <w:pStyle w:val="CabealhoeRodap"/>
        <w:ind w:left="720" w:right="-2" w:hanging="0"/>
        <w:jc w:val="both"/>
        <w:rPr>
          <w:sz w:val="22"/>
          <w:szCs w:val="22"/>
          <w:shd w:fill="B4C7DC" w:val="clear"/>
        </w:rPr>
      </w:pPr>
      <w:r>
        <w:rPr>
          <w:sz w:val="22"/>
          <w:szCs w:val="22"/>
          <w:shd w:fill="B4C7DC" w:val="clear"/>
        </w:rPr>
      </w:r>
    </w:p>
    <w:p>
      <w:pPr>
        <w:pStyle w:val="Normal"/>
        <w:suppressAutoHyphens w:val="true"/>
        <w:jc w:val="both"/>
        <w:rPr>
          <w:bCs/>
          <w:color w:val="000000" w:themeColor="text1"/>
          <w:sz w:val="22"/>
          <w:szCs w:val="22"/>
        </w:rPr>
      </w:pPr>
      <w:r>
        <w:rPr>
          <w:bCs/>
          <w:color w:val="000000" w:themeColor="text1"/>
          <w:sz w:val="22"/>
          <w:szCs w:val="22"/>
        </w:rPr>
        <w:t>Considerando a natureza do objeto, fornecimento de kits de lanches compostos por gêneros alimentícios industrializados e devidamente embalados, verifica-se que a solução apresenta baixa complexidade operacional, não demandando adaptações estruturais relevantes, obtenção de licenças específicas ou intervenções técnicas no ambiente físico da Administração.</w:t>
      </w:r>
    </w:p>
    <w:p>
      <w:pPr>
        <w:pStyle w:val="Normal"/>
        <w:suppressAutoHyphens w:val="true"/>
        <w:jc w:val="both"/>
        <w:rPr>
          <w:bCs/>
          <w:color w:val="000000" w:themeColor="text1"/>
          <w:sz w:val="22"/>
          <w:szCs w:val="22"/>
        </w:rPr>
      </w:pPr>
      <w:r>
        <w:rPr>
          <w:bCs/>
          <w:color w:val="000000" w:themeColor="text1"/>
          <w:sz w:val="22"/>
          <w:szCs w:val="22"/>
        </w:rPr>
      </w:r>
    </w:p>
    <w:p>
      <w:pPr>
        <w:pStyle w:val="Normal"/>
        <w:suppressAutoHyphens w:val="true"/>
        <w:jc w:val="both"/>
        <w:rPr>
          <w:bCs/>
          <w:color w:val="000000" w:themeColor="text1"/>
          <w:sz w:val="22"/>
          <w:szCs w:val="22"/>
        </w:rPr>
      </w:pPr>
      <w:r>
        <w:rPr>
          <w:bCs/>
          <w:color w:val="000000" w:themeColor="text1"/>
          <w:sz w:val="22"/>
          <w:szCs w:val="22"/>
        </w:rPr>
        <w:t>Ainda assim, previamente à celebração do contrato, algumas providências administrativas deverão ser adotadas pela Secretaria Municipal de Assistência Social, a fim de assegurar a adequada execução contratual e o cumprimento das normas aplicáveis:</w:t>
      </w:r>
    </w:p>
    <w:p>
      <w:pPr>
        <w:pStyle w:val="Normal"/>
        <w:suppressAutoHyphens w:val="true"/>
        <w:jc w:val="both"/>
        <w:rPr>
          <w:bCs/>
          <w:color w:val="000000" w:themeColor="text1"/>
          <w:sz w:val="22"/>
          <w:szCs w:val="22"/>
        </w:rPr>
      </w:pPr>
      <w:r>
        <w:rPr>
          <w:bCs/>
          <w:color w:val="000000" w:themeColor="text1"/>
          <w:sz w:val="22"/>
          <w:szCs w:val="22"/>
        </w:rPr>
        <w:t xml:space="preserve">Quanto às licenças, autorizações e outorgas, não se faz necessária a obtenção de licenciamento sanitário ou autorização específica pelo Município, uma vez que não haverá manipulação direta de alimentos pela Administração. </w:t>
      </w:r>
    </w:p>
    <w:p>
      <w:pPr>
        <w:pStyle w:val="Normal"/>
        <w:suppressAutoHyphens w:val="true"/>
        <w:jc w:val="both"/>
        <w:rPr>
          <w:bCs/>
          <w:color w:val="000000" w:themeColor="text1"/>
          <w:sz w:val="22"/>
          <w:szCs w:val="22"/>
        </w:rPr>
      </w:pPr>
      <w:r>
        <w:rPr>
          <w:bCs/>
          <w:color w:val="000000" w:themeColor="text1"/>
          <w:sz w:val="22"/>
          <w:szCs w:val="22"/>
        </w:rPr>
      </w:r>
    </w:p>
    <w:p>
      <w:pPr>
        <w:pStyle w:val="Normal"/>
        <w:suppressAutoHyphens w:val="true"/>
        <w:jc w:val="both"/>
        <w:rPr>
          <w:b/>
          <w:bCs/>
          <w:color w:val="000000" w:themeColor="text1"/>
          <w:sz w:val="22"/>
          <w:szCs w:val="22"/>
        </w:rPr>
      </w:pPr>
      <w:r>
        <w:rPr>
          <w:b/>
          <w:bCs/>
          <w:color w:val="000000" w:themeColor="text1"/>
          <w:sz w:val="22"/>
          <w:szCs w:val="22"/>
        </w:rPr>
        <w:t>a) Organização do local de recebimento e armazenamento temporário:</w:t>
      </w:r>
    </w:p>
    <w:p>
      <w:pPr>
        <w:pStyle w:val="Normal"/>
        <w:suppressAutoHyphens w:val="true"/>
        <w:jc w:val="both"/>
        <w:rPr>
          <w:bCs/>
          <w:color w:val="000000" w:themeColor="text1"/>
          <w:sz w:val="22"/>
          <w:szCs w:val="22"/>
        </w:rPr>
      </w:pPr>
      <w:r>
        <w:rPr>
          <w:bCs/>
          <w:color w:val="000000" w:themeColor="text1"/>
          <w:sz w:val="22"/>
          <w:szCs w:val="22"/>
        </w:rPr>
        <w:t>Deverá ser preparada a área destinada ao recebimento dos kits, preferencialmente nas dependências do CRAS ou local indicado pela Secretaria, garantindo condições adequadas de higiene, ventilação e proteção contra umidade ou exposição direta ao sol, em conformidade com as boas práticas sanitárias. Não se trata de adaptação estrutural complexa, mas apenas organização logística do espaço existente.</w:t>
      </w:r>
    </w:p>
    <w:p>
      <w:pPr>
        <w:pStyle w:val="Normal"/>
        <w:suppressAutoHyphens w:val="true"/>
        <w:jc w:val="both"/>
        <w:rPr>
          <w:bCs/>
          <w:color w:val="000000" w:themeColor="text1"/>
          <w:sz w:val="22"/>
          <w:szCs w:val="22"/>
        </w:rPr>
      </w:pPr>
      <w:r>
        <w:rPr>
          <w:bCs/>
          <w:color w:val="000000" w:themeColor="text1"/>
          <w:sz w:val="22"/>
          <w:szCs w:val="22"/>
        </w:rPr>
      </w:r>
    </w:p>
    <w:p>
      <w:pPr>
        <w:pStyle w:val="Normal"/>
        <w:suppressAutoHyphens w:val="true"/>
        <w:jc w:val="both"/>
        <w:rPr>
          <w:b/>
          <w:bCs/>
          <w:color w:val="000000" w:themeColor="text1"/>
          <w:sz w:val="22"/>
          <w:szCs w:val="22"/>
        </w:rPr>
      </w:pPr>
      <w:r>
        <w:rPr>
          <w:b/>
          <w:bCs/>
          <w:color w:val="000000" w:themeColor="text1"/>
          <w:sz w:val="22"/>
          <w:szCs w:val="22"/>
        </w:rPr>
        <w:t>b) Designação formal da equipe de gestão e fiscalização contratual:</w:t>
      </w:r>
    </w:p>
    <w:p>
      <w:pPr>
        <w:pStyle w:val="Normal"/>
        <w:suppressAutoHyphens w:val="true"/>
        <w:jc w:val="both"/>
        <w:rPr>
          <w:bCs/>
          <w:color w:val="000000" w:themeColor="text1"/>
          <w:sz w:val="22"/>
          <w:szCs w:val="22"/>
        </w:rPr>
      </w:pPr>
      <w:r>
        <w:rPr>
          <w:bCs/>
          <w:color w:val="000000" w:themeColor="text1"/>
          <w:sz w:val="22"/>
          <w:szCs w:val="22"/>
        </w:rPr>
        <w:t>A Administração deverá manter formalmente designados o gestor e o fiscal do contrato, conforme indicado no Documento de Formalização de Demanda, assegurando que possuam ciência das atribuições relativas ao acompanhamento da execução, conferência dos itens entregues e registro de eventuais ocorrências.</w:t>
      </w:r>
    </w:p>
    <w:p>
      <w:pPr>
        <w:pStyle w:val="Normal"/>
        <w:suppressAutoHyphens w:val="true"/>
        <w:jc w:val="both"/>
        <w:rPr>
          <w:bCs/>
          <w:color w:val="000000" w:themeColor="text1"/>
          <w:sz w:val="22"/>
          <w:szCs w:val="22"/>
        </w:rPr>
      </w:pPr>
      <w:r>
        <w:rPr>
          <w:bCs/>
          <w:color w:val="000000" w:themeColor="text1"/>
          <w:sz w:val="22"/>
          <w:szCs w:val="22"/>
        </w:rPr>
      </w:r>
    </w:p>
    <w:p>
      <w:pPr>
        <w:pStyle w:val="Normal"/>
        <w:suppressAutoHyphens w:val="true"/>
        <w:jc w:val="both"/>
        <w:rPr>
          <w:b/>
          <w:bCs/>
          <w:color w:val="000000" w:themeColor="text1"/>
          <w:sz w:val="22"/>
          <w:szCs w:val="22"/>
        </w:rPr>
      </w:pPr>
      <w:r>
        <w:rPr>
          <w:b/>
          <w:bCs/>
          <w:color w:val="000000" w:themeColor="text1"/>
          <w:sz w:val="22"/>
          <w:szCs w:val="22"/>
        </w:rPr>
        <w:t>c) Orientação e alinhamento interno dos servidores envolvidos:</w:t>
      </w:r>
    </w:p>
    <w:p>
      <w:pPr>
        <w:pStyle w:val="Normal"/>
        <w:suppressAutoHyphens w:val="true"/>
        <w:jc w:val="both"/>
        <w:rPr>
          <w:bCs/>
          <w:color w:val="000000" w:themeColor="text1"/>
          <w:sz w:val="22"/>
          <w:szCs w:val="22"/>
        </w:rPr>
      </w:pPr>
      <w:r>
        <w:rPr>
          <w:bCs/>
          <w:color w:val="000000" w:themeColor="text1"/>
          <w:sz w:val="22"/>
          <w:szCs w:val="22"/>
        </w:rPr>
        <w:t>Recomenda-se a realização de alinhamento prévio com os servidores responsáveis pelo recebimento e conferência dos kits, abordando aspectos como verificação de validade dos produtos, integridade das embalagens, conformidade com o descritivo técnico e procedimentos para solicitação de substituição em caso de irregularidades. Não há necessidade de capacitação técnica especializada, apenas orientação operacional básica.</w:t>
      </w:r>
    </w:p>
    <w:p>
      <w:pPr>
        <w:pStyle w:val="Normal"/>
        <w:suppressAutoHyphens w:val="true"/>
        <w:jc w:val="both"/>
        <w:rPr>
          <w:bCs/>
          <w:color w:val="000000" w:themeColor="text1"/>
          <w:sz w:val="22"/>
          <w:szCs w:val="22"/>
        </w:rPr>
      </w:pPr>
      <w:r>
        <w:rPr>
          <w:bCs/>
          <w:color w:val="000000" w:themeColor="text1"/>
          <w:sz w:val="22"/>
          <w:szCs w:val="22"/>
        </w:rPr>
      </w:r>
    </w:p>
    <w:p>
      <w:pPr>
        <w:pStyle w:val="Normal"/>
        <w:suppressAutoHyphens w:val="true"/>
        <w:jc w:val="both"/>
        <w:rPr>
          <w:bCs/>
          <w:color w:val="000000" w:themeColor="text1"/>
          <w:sz w:val="22"/>
          <w:szCs w:val="22"/>
        </w:rPr>
      </w:pPr>
      <w:r>
        <w:rPr>
          <w:bCs/>
          <w:color w:val="000000" w:themeColor="text1"/>
          <w:sz w:val="22"/>
          <w:szCs w:val="22"/>
        </w:rPr>
        <w:t>Dessa forma, conclui-se que as providências prévias exigidas da Administração são de caráter eminentemente organizacional e administrativo, compatíveis com a simplicidade da solução proposta, visando assegurar adequada gestão contratual, eficiência na logística de recebimento e conformidade com as normas sanitárias e administrativas aplicáveis.</w:t>
      </w:r>
    </w:p>
    <w:p>
      <w:pPr>
        <w:pStyle w:val="Normal"/>
        <w:suppressAutoHyphens w:val="true"/>
        <w:jc w:val="both"/>
        <w:rPr>
          <w:bCs/>
          <w:color w:val="000000" w:themeColor="text1"/>
          <w:sz w:val="22"/>
          <w:szCs w:val="22"/>
        </w:rPr>
      </w:pPr>
      <w:r>
        <w:rPr>
          <w:bCs/>
          <w:color w:val="000000" w:themeColor="text1"/>
          <w:sz w:val="22"/>
          <w:szCs w:val="22"/>
        </w:rPr>
      </w:r>
    </w:p>
    <w:p>
      <w:pPr>
        <w:pStyle w:val="Normal"/>
        <w:ind w:left="-1" w:right="-2" w:hanging="0"/>
        <w:jc w:val="both"/>
        <w:rPr>
          <w:bCs/>
          <w:color w:val="000000" w:themeColor="text1"/>
          <w:sz w:val="22"/>
          <w:szCs w:val="22"/>
        </w:rPr>
      </w:pPr>
      <w:r>
        <w:rPr>
          <w:bCs/>
          <w:color w:val="000000" w:themeColor="text1"/>
          <w:sz w:val="22"/>
          <w:szCs w:val="22"/>
        </w:rPr>
      </w:r>
    </w:p>
    <w:p>
      <w:pPr>
        <w:pStyle w:val="ListParagraph"/>
        <w:shd w:val="clear" w:color="auto" w:fill="8DB3E2" w:themeFill="text2" w:themeFillTint="66"/>
        <w:ind w:left="0" w:right="-2" w:hanging="0"/>
        <w:rPr>
          <w:shd w:fill="B4C7DC" w:val="clear"/>
        </w:rPr>
      </w:pPr>
      <w:r>
        <w:rPr>
          <w:b/>
          <w:bCs/>
          <w:sz w:val="22"/>
          <w:szCs w:val="22"/>
          <w:shd w:fill="B4C7DC" w:val="clear"/>
        </w:rPr>
        <w:t>6. Possíveis impactos ambientais (art. 15, §1º, XII do Decreto nº 3.537/2023):</w:t>
      </w:r>
    </w:p>
    <w:p>
      <w:pPr>
        <w:pStyle w:val="ListParagraph"/>
        <w:ind w:left="358" w:right="-2" w:hanging="0"/>
        <w:rPr>
          <w:shd w:fill="B4C7DC" w:val="clear"/>
        </w:rPr>
      </w:pPr>
      <w:r>
        <w:rPr>
          <w:shd w:fill="B4C7DC" w:val="clear"/>
        </w:rPr>
      </w:r>
    </w:p>
    <w:p>
      <w:pPr>
        <w:pStyle w:val="Normal"/>
        <w:ind w:right="-2" w:hanging="0"/>
        <w:jc w:val="both"/>
        <w:rPr>
          <w:bCs/>
          <w:sz w:val="22"/>
          <w:szCs w:val="22"/>
        </w:rPr>
      </w:pPr>
      <w:r>
        <w:rPr>
          <w:bCs/>
          <w:sz w:val="22"/>
          <w:szCs w:val="22"/>
        </w:rPr>
        <w:t>Considerando que o objeto da contratação consiste no fornecimento de kits de lanches compostos por gêneros alimentícios industrializados e embalagens individuais, verifica-se que os principais impactos ambientais estão relacionados, sobretudo, à geração de resíduos sólidos provenientes das embalagens dos produtos e do acondicionamento final dos kits. Embora se trate de solução de baixa complexidade técnica, é possível adotar medidas mitigadoras alinhadas às boas práticas de sustentabilidade e às diretrizes da Administração Pública.</w:t>
      </w:r>
    </w:p>
    <w:p>
      <w:pPr>
        <w:pStyle w:val="Normal"/>
        <w:ind w:right="-2" w:hanging="0"/>
        <w:jc w:val="both"/>
        <w:rPr>
          <w:bCs/>
          <w:sz w:val="22"/>
          <w:szCs w:val="22"/>
        </w:rPr>
      </w:pPr>
      <w:r>
        <w:rPr>
          <w:bCs/>
          <w:sz w:val="22"/>
          <w:szCs w:val="22"/>
        </w:rPr>
      </w:r>
    </w:p>
    <w:p>
      <w:pPr>
        <w:pStyle w:val="Normal"/>
        <w:ind w:right="-2" w:hanging="0"/>
        <w:jc w:val="both"/>
        <w:rPr>
          <w:bCs/>
          <w:sz w:val="22"/>
          <w:szCs w:val="22"/>
        </w:rPr>
      </w:pPr>
      <w:r>
        <w:rPr>
          <w:bCs/>
          <w:sz w:val="22"/>
          <w:szCs w:val="22"/>
        </w:rPr>
        <w:t>Dentre os possíveis impactos ambientais identificados, destacam-se:</w:t>
      </w:r>
    </w:p>
    <w:p>
      <w:pPr>
        <w:pStyle w:val="Normal"/>
        <w:ind w:right="-2" w:hanging="0"/>
        <w:jc w:val="both"/>
        <w:rPr>
          <w:bCs/>
          <w:sz w:val="22"/>
          <w:szCs w:val="22"/>
        </w:rPr>
      </w:pPr>
      <w:r>
        <w:rPr>
          <w:bCs/>
          <w:sz w:val="22"/>
          <w:szCs w:val="22"/>
        </w:rPr>
      </w:r>
    </w:p>
    <w:p>
      <w:pPr>
        <w:pStyle w:val="ListParagraph"/>
        <w:numPr>
          <w:ilvl w:val="0"/>
          <w:numId w:val="13"/>
        </w:numPr>
        <w:ind w:left="720" w:right="-2" w:hanging="360"/>
        <w:jc w:val="both"/>
        <w:rPr>
          <w:bCs/>
          <w:sz w:val="22"/>
          <w:szCs w:val="22"/>
        </w:rPr>
      </w:pPr>
      <w:r>
        <w:rPr>
          <w:bCs/>
          <w:sz w:val="22"/>
          <w:szCs w:val="22"/>
        </w:rPr>
        <w:t>Geração de resíduos recicláveis, como embalagens Tetra Pak, plásticos e papéis;</w:t>
      </w:r>
    </w:p>
    <w:p>
      <w:pPr>
        <w:pStyle w:val="ListParagraph"/>
        <w:numPr>
          <w:ilvl w:val="0"/>
          <w:numId w:val="13"/>
        </w:numPr>
        <w:ind w:left="720" w:right="-2" w:hanging="360"/>
        <w:jc w:val="both"/>
        <w:rPr>
          <w:bCs/>
          <w:sz w:val="22"/>
          <w:szCs w:val="22"/>
        </w:rPr>
      </w:pPr>
      <w:r>
        <w:rPr>
          <w:bCs/>
          <w:sz w:val="22"/>
          <w:szCs w:val="22"/>
        </w:rPr>
        <w:t>Aumento do volume de resíduos sólidos decorrentes das atividades coletivas e eventos socio assistenciais;</w:t>
      </w:r>
    </w:p>
    <w:p>
      <w:pPr>
        <w:pStyle w:val="ListParagraph"/>
        <w:numPr>
          <w:ilvl w:val="0"/>
          <w:numId w:val="13"/>
        </w:numPr>
        <w:ind w:left="720" w:right="-2" w:hanging="360"/>
        <w:jc w:val="both"/>
        <w:rPr>
          <w:bCs/>
          <w:sz w:val="22"/>
          <w:szCs w:val="22"/>
        </w:rPr>
      </w:pPr>
      <w:r>
        <w:rPr>
          <w:bCs/>
          <w:sz w:val="22"/>
          <w:szCs w:val="22"/>
        </w:rPr>
        <w:t>Consumo indireto de recursos naturais relacionados à produção e transporte dos itens que compõem os kits.</w:t>
      </w:r>
    </w:p>
    <w:p>
      <w:pPr>
        <w:pStyle w:val="Normal"/>
        <w:ind w:right="-2" w:hanging="0"/>
        <w:jc w:val="both"/>
        <w:rPr>
          <w:bCs/>
          <w:sz w:val="22"/>
          <w:szCs w:val="22"/>
        </w:rPr>
      </w:pPr>
      <w:r>
        <w:rPr>
          <w:bCs/>
          <w:sz w:val="22"/>
          <w:szCs w:val="22"/>
        </w:rPr>
      </w:r>
    </w:p>
    <w:p>
      <w:pPr>
        <w:pStyle w:val="Normal"/>
        <w:ind w:right="-2" w:hanging="0"/>
        <w:jc w:val="both"/>
        <w:rPr>
          <w:bCs/>
          <w:sz w:val="22"/>
          <w:szCs w:val="22"/>
        </w:rPr>
      </w:pPr>
      <w:r>
        <w:rPr>
          <w:bCs/>
          <w:sz w:val="22"/>
          <w:szCs w:val="22"/>
        </w:rPr>
        <w:t>Como medidas mitigadoras, a Administração deverá estabelecer, no instrumento convocatório e no contrato, requisitos que incentivem a redução da geração de resíduos e o uso de materiais ambientalmente mais adequados. Nesse sentido, deverá ser priorizada, sempre que possível, a utilização de embalagens recicláveis, biodegradáveis ou de menor impacto ambiental, compatíveis com o acondicionamento seguro dos alimentos, bem como a redução do uso excessivo de materiais descartáveis. Poderá ser exigido que os produtos utilizados sejam próprios para contato com alimentos e livres de substâncias tóxicas, atendendo às normas sanitárias e ambientais vigentes.</w:t>
      </w:r>
    </w:p>
    <w:p>
      <w:pPr>
        <w:pStyle w:val="Normal"/>
        <w:ind w:right="-2" w:hanging="0"/>
        <w:jc w:val="both"/>
        <w:rPr>
          <w:bCs/>
          <w:sz w:val="22"/>
          <w:szCs w:val="22"/>
        </w:rPr>
      </w:pPr>
      <w:r>
        <w:rPr>
          <w:bCs/>
          <w:sz w:val="22"/>
          <w:szCs w:val="22"/>
        </w:rPr>
      </w:r>
    </w:p>
    <w:p>
      <w:pPr>
        <w:pStyle w:val="Normal"/>
        <w:ind w:right="-2" w:hanging="0"/>
        <w:jc w:val="both"/>
        <w:rPr>
          <w:bCs/>
          <w:sz w:val="22"/>
          <w:szCs w:val="22"/>
        </w:rPr>
      </w:pPr>
      <w:r>
        <w:rPr>
          <w:bCs/>
          <w:sz w:val="22"/>
          <w:szCs w:val="22"/>
        </w:rPr>
        <w:t>No que se refere à logística reversa e ao correto manejo dos resíduos, a contratada deverá adotar práticas adequadas de destinação dos resíduos gerados em suas atividades, observando a legislação ambiental aplicável, especialmente a Política Nacional de Resíduos Sólidos. Sempre que viável, deverá haver orientação quanto à separação e ao descarte adequado das embalagens pós-consumo, de modo a possibilitar a reciclagem ou reaproveitamento, sem que isso implique ônus operacional indevido à Administração.</w:t>
      </w:r>
    </w:p>
    <w:p>
      <w:pPr>
        <w:pStyle w:val="Normal"/>
        <w:ind w:right="-2" w:hanging="0"/>
        <w:jc w:val="both"/>
        <w:rPr>
          <w:bCs/>
          <w:sz w:val="22"/>
          <w:szCs w:val="22"/>
        </w:rPr>
      </w:pPr>
      <w:r>
        <w:rPr>
          <w:bCs/>
          <w:sz w:val="22"/>
          <w:szCs w:val="22"/>
        </w:rPr>
      </w:r>
    </w:p>
    <w:p>
      <w:pPr>
        <w:pStyle w:val="Normal"/>
        <w:ind w:right="-2" w:hanging="0"/>
        <w:jc w:val="both"/>
        <w:rPr>
          <w:bCs/>
          <w:sz w:val="22"/>
          <w:szCs w:val="22"/>
        </w:rPr>
      </w:pPr>
      <w:r>
        <w:rPr>
          <w:bCs/>
          <w:sz w:val="22"/>
          <w:szCs w:val="22"/>
        </w:rPr>
        <w:t>Quanto ao consumo de energia e de outros recursos naturais, deverão ser estimuladas boas práticas ambientais nos processos internos da contratada, como o uso racional de água e energia, a adoção de equipamentos eficientes e a otimização dos processos de preparo e transporte das refeições, visando reduzir desperdícios e impactos ambientais indiretos. Embora o Município não detenha controle direto sobre esses processos, a previsão contratual de requisitos mínimos de sustentabilidade contribui para induzir comportamentos ambientalmente responsáveis por parte dos fornecedores.</w:t>
      </w:r>
    </w:p>
    <w:p>
      <w:pPr>
        <w:pStyle w:val="Normal"/>
        <w:ind w:right="-2" w:hanging="0"/>
        <w:jc w:val="both"/>
        <w:rPr>
          <w:bCs/>
          <w:sz w:val="22"/>
          <w:szCs w:val="22"/>
        </w:rPr>
      </w:pPr>
      <w:r>
        <w:rPr>
          <w:bCs/>
          <w:sz w:val="22"/>
          <w:szCs w:val="22"/>
        </w:rPr>
      </w:r>
    </w:p>
    <w:p>
      <w:pPr>
        <w:pStyle w:val="Normal"/>
        <w:ind w:right="-2" w:hanging="0"/>
        <w:jc w:val="both"/>
        <w:rPr>
          <w:bCs/>
          <w:sz w:val="22"/>
          <w:szCs w:val="22"/>
        </w:rPr>
      </w:pPr>
      <w:r>
        <w:rPr>
          <w:bCs/>
          <w:sz w:val="22"/>
          <w:szCs w:val="22"/>
        </w:rPr>
        <w:t>Adicionalmente, a racionalização das rotas de entrega e o planejamento adequado da logística de fornecimento configuram medidas relevantes para a mitigação de impactos ambientais, ao reduzir o consumo de combustíveis e as emissões associadas ao transporte. A execução do contrato de forma organizada e previsível contribui para minimizar deslocamentos desnecessários e otimizar o uso dos recursos logísticos.</w:t>
      </w:r>
    </w:p>
    <w:p>
      <w:pPr>
        <w:pStyle w:val="Normal"/>
        <w:ind w:right="-2" w:hanging="0"/>
        <w:jc w:val="both"/>
        <w:rPr>
          <w:bCs/>
          <w:sz w:val="22"/>
          <w:szCs w:val="22"/>
        </w:rPr>
      </w:pPr>
      <w:r>
        <w:rPr>
          <w:bCs/>
          <w:sz w:val="22"/>
          <w:szCs w:val="22"/>
        </w:rPr>
      </w:r>
    </w:p>
    <w:p>
      <w:pPr>
        <w:pStyle w:val="Normal"/>
        <w:ind w:right="-2" w:hanging="0"/>
        <w:jc w:val="both"/>
        <w:rPr>
          <w:bCs/>
          <w:sz w:val="22"/>
          <w:szCs w:val="22"/>
        </w:rPr>
      </w:pPr>
      <w:r>
        <w:rPr>
          <w:bCs/>
          <w:sz w:val="22"/>
          <w:szCs w:val="22"/>
        </w:rPr>
        <w:t>Dessa forma, os impactos ambientais associados à contratação são considerados de baixa magnitude e plenamente mitigáveis, desde que observadas as medidas propostas, as quais se mostram compatíveis com o objeto contratado e com a capacidade operacional da Administração. A adoção dessas práticas reforça o compromisso do Município de Bandeirantes/PR com a sustentabilidade ambiental nas contratações públicas, em consonância com a legislação vigente e com os princípios da eficiência, responsabilidade socioambiental e desenvolvimento sustentável.</w:t>
        <w:tab/>
      </w:r>
    </w:p>
    <w:p>
      <w:pPr>
        <w:pStyle w:val="Normal"/>
        <w:shd w:val="clear" w:color="auto" w:fill="365F91" w:themeFill="accent1" w:themeFillShade="bf"/>
        <w:tabs>
          <w:tab w:val="clear" w:pos="720"/>
          <w:tab w:val="left" w:pos="284" w:leader="none"/>
        </w:tabs>
        <w:spacing w:lineRule="auto" w:line="276" w:before="240" w:after="200"/>
        <w:ind w:right="-2" w:hanging="2"/>
        <w:jc w:val="both"/>
        <w:rPr>
          <w:color w:val="FFFFFF" w:themeColor="background1"/>
          <w:sz w:val="22"/>
          <w:szCs w:val="22"/>
        </w:rPr>
      </w:pPr>
      <w:r>
        <w:rPr>
          <w:b/>
          <w:bCs/>
          <w:color w:val="FFFFFF" w:themeColor="background1"/>
          <w:sz w:val="22"/>
          <w:szCs w:val="22"/>
        </w:rPr>
        <w:t>V – Posicionamento Conclusivo:</w:t>
      </w:r>
    </w:p>
    <w:p>
      <w:pPr>
        <w:pStyle w:val="Normal"/>
        <w:ind w:right="-2" w:hanging="2"/>
        <w:jc w:val="both"/>
        <w:rPr>
          <w:sz w:val="22"/>
          <w:szCs w:val="22"/>
        </w:rPr>
      </w:pPr>
      <w:r>
        <w:rPr>
          <w:sz w:val="22"/>
          <w:szCs w:val="22"/>
        </w:rPr>
        <w:t xml:space="preserve">  </w:t>
      </w:r>
      <w:r>
        <w:rPr>
          <w:sz w:val="22"/>
          <w:szCs w:val="22"/>
        </w:rPr>
        <w:t>Diante das análises realizadas ao longo deste Estudo Técnico Preliminar, especialmente quanto à identificação da necessidade, levantamento de mercado, definição da solução mais adequada, estimativa de custos, requisitos da contratação, resultados pretendidos e avaliação dos impactos ambientais, conclui-se que a contratação para fornecimento de kits de lanches destinados às atividades da Secretaria Municipal de Assistência Social do Município de Bandeirantes/PR mostra-se tecnicamente viável, administrativamente oportuna e alinhada ao interesse público.</w:t>
      </w:r>
    </w:p>
    <w:p>
      <w:pPr>
        <w:pStyle w:val="Normal"/>
        <w:ind w:right="-2" w:hanging="2"/>
        <w:jc w:val="both"/>
        <w:rPr>
          <w:sz w:val="22"/>
          <w:szCs w:val="22"/>
        </w:rPr>
      </w:pPr>
      <w:r>
        <w:rPr>
          <w:sz w:val="22"/>
          <w:szCs w:val="22"/>
        </w:rPr>
      </w:r>
    </w:p>
    <w:p>
      <w:pPr>
        <w:pStyle w:val="Normal"/>
        <w:ind w:right="-2" w:hanging="2"/>
        <w:jc w:val="both"/>
        <w:rPr>
          <w:sz w:val="22"/>
          <w:szCs w:val="22"/>
        </w:rPr>
      </w:pPr>
      <w:r>
        <w:rPr>
          <w:sz w:val="22"/>
          <w:szCs w:val="22"/>
        </w:rPr>
        <w:t>Verificou-se a existência de ampla oferta de fornecedores no mercado, a padronização das especificações do objeto e a compatibilidade dos valores estimados com os preços praticados, fatores que asseguram competitividade, economicidade e possibilidade de seleção da proposta mais vantajosa para a Administração. A solução proposta atende de forma adequada às demandas dos serviços, programas e ações socio assistenciais, contribuindo para a permanência dos usuários nas atividades, melhoria da organização logística e fortalecimento da eficiência administrativa.</w:t>
      </w:r>
    </w:p>
    <w:p>
      <w:pPr>
        <w:pStyle w:val="Normal"/>
        <w:ind w:right="-2" w:hanging="2"/>
        <w:jc w:val="both"/>
        <w:rPr>
          <w:sz w:val="22"/>
          <w:szCs w:val="22"/>
        </w:rPr>
      </w:pPr>
      <w:r>
        <w:rPr>
          <w:sz w:val="22"/>
          <w:szCs w:val="22"/>
        </w:rPr>
      </w:r>
    </w:p>
    <w:p>
      <w:pPr>
        <w:pStyle w:val="Normal"/>
        <w:ind w:right="-2" w:hanging="2"/>
        <w:jc w:val="both"/>
        <w:rPr>
          <w:sz w:val="22"/>
          <w:szCs w:val="22"/>
        </w:rPr>
      </w:pPr>
      <w:r>
        <w:rPr>
          <w:sz w:val="22"/>
          <w:szCs w:val="22"/>
        </w:rPr>
        <w:t>Sob o aspecto jurídico e procedimental, a contratação encontra amparo na Lei nº 14.133/2021, no Decreto Municipal nº 3.537/2023 e nas diretrizes da Instrução Normativa SEGES nº 58/2022, estando devidamente prevista no planejamento anual de contratações e alinhada às políticas públicas executadas no âmbito do Sistema Único de Assistência Social – SUAS.</w:t>
      </w:r>
    </w:p>
    <w:p>
      <w:pPr>
        <w:pStyle w:val="Normal"/>
        <w:ind w:right="-2" w:hanging="2"/>
        <w:jc w:val="both"/>
        <w:rPr>
          <w:sz w:val="22"/>
          <w:szCs w:val="22"/>
        </w:rPr>
      </w:pPr>
      <w:r>
        <w:rPr>
          <w:sz w:val="22"/>
          <w:szCs w:val="22"/>
        </w:rPr>
      </w:r>
    </w:p>
    <w:p>
      <w:pPr>
        <w:pStyle w:val="Normal"/>
        <w:ind w:right="-2" w:hanging="2"/>
        <w:jc w:val="both"/>
        <w:rPr>
          <w:sz w:val="22"/>
          <w:szCs w:val="22"/>
        </w:rPr>
      </w:pPr>
      <w:r>
        <w:rPr>
          <w:sz w:val="22"/>
          <w:szCs w:val="22"/>
        </w:rPr>
        <w:t>Dessa forma, verifica-se que a contratação é viável, por estar amparada em análise técnica consistente e compatível com o mercado; oportuna, por atender a demanda atual e recorrente da Administração, evitando prejuízos à eficiência dos serviços públicos; e alinhada ao interesse público, ao assegurar melhores condições de trabalho aos servidores, continuidade das atividades essenciais e adequada aplicação dos recursos públicos.</w:t>
      </w:r>
    </w:p>
    <w:p>
      <w:pPr>
        <w:pStyle w:val="Normal"/>
        <w:ind w:right="-2" w:hanging="2"/>
        <w:jc w:val="both"/>
        <w:rPr>
          <w:sz w:val="22"/>
          <w:szCs w:val="22"/>
        </w:rPr>
      </w:pPr>
      <w:r>
        <w:rPr>
          <w:sz w:val="22"/>
          <w:szCs w:val="22"/>
        </w:rPr>
      </w:r>
    </w:p>
    <w:p>
      <w:pPr>
        <w:pStyle w:val="Normal"/>
        <w:ind w:right="-2" w:hanging="2"/>
        <w:jc w:val="both"/>
        <w:rPr>
          <w:sz w:val="22"/>
          <w:szCs w:val="22"/>
        </w:rPr>
      </w:pPr>
      <w:r>
        <w:rPr>
          <w:sz w:val="22"/>
          <w:szCs w:val="22"/>
        </w:rPr>
        <w:t>Conclui-se, portanto, que a contratação proposta atende às diretrizes da Instrução Normativa SEGES nº 58/2022, à Lei nº 14.133/2021 e ao planejamento da Administração Municipal, recomendando-se o prosseguimento do processo para a fase de elaboração do Termo de Referência e adoção das providências necessárias à deflagração do procedimento licitatório.</w:t>
      </w:r>
    </w:p>
    <w:p>
      <w:pPr>
        <w:pStyle w:val="Normal"/>
        <w:ind w:right="-2" w:hanging="2"/>
        <w:jc w:val="both"/>
        <w:rPr>
          <w:sz w:val="22"/>
          <w:szCs w:val="22"/>
        </w:rPr>
      </w:pPr>
      <w:r>
        <w:rPr>
          <w:sz w:val="22"/>
          <w:szCs w:val="22"/>
        </w:rPr>
      </w:r>
    </w:p>
    <w:p>
      <w:pPr>
        <w:pStyle w:val="Normal"/>
        <w:ind w:right="-2" w:hanging="2"/>
        <w:jc w:val="center"/>
        <w:rPr>
          <w:sz w:val="22"/>
          <w:szCs w:val="22"/>
        </w:rPr>
      </w:pPr>
      <w:r>
        <w:rPr>
          <w:sz w:val="22"/>
          <w:szCs w:val="22"/>
        </w:rPr>
        <w:t>Bandeirantes (PR), 10 de Fevereiro de 2026</w:t>
      </w:r>
    </w:p>
    <w:p>
      <w:pPr>
        <w:pStyle w:val="Normal"/>
        <w:ind w:right="-2" w:hanging="2"/>
        <w:jc w:val="center"/>
        <w:rPr>
          <w:sz w:val="22"/>
          <w:szCs w:val="22"/>
        </w:rPr>
      </w:pPr>
      <w:r>
        <w:rPr>
          <w:sz w:val="22"/>
          <w:szCs w:val="22"/>
        </w:rPr>
      </w:r>
    </w:p>
    <w:p>
      <w:pPr>
        <w:pStyle w:val="Normal"/>
        <w:ind w:right="-2" w:hanging="2"/>
        <w:jc w:val="center"/>
        <w:rPr>
          <w:sz w:val="22"/>
          <w:szCs w:val="22"/>
        </w:rPr>
      </w:pPr>
      <w:r>
        <w:rPr>
          <w:sz w:val="22"/>
          <w:szCs w:val="22"/>
        </w:rPr>
      </w:r>
    </w:p>
    <w:p>
      <w:pPr>
        <w:pStyle w:val="Normal"/>
        <w:spacing w:lineRule="auto" w:line="360"/>
        <w:ind w:right="-2" w:hanging="2"/>
        <w:jc w:val="center"/>
        <w:rPr/>
      </w:pPr>
      <w:r>
        <w:rPr>
          <w:rFonts w:eastAsia="Arial"/>
          <w:sz w:val="20"/>
          <w:szCs w:val="20"/>
        </w:rPr>
        <w:t>____________________________________________</w:t>
      </w:r>
    </w:p>
    <w:p>
      <w:pPr>
        <w:pStyle w:val="Normal"/>
        <w:ind w:right="-2" w:hanging="0"/>
        <w:jc w:val="center"/>
        <w:rPr/>
      </w:pPr>
      <w:r>
        <w:rPr>
          <w:rFonts w:eastAsia="Merriweather"/>
          <w:b/>
          <w:bCs/>
          <w:sz w:val="22"/>
          <w:szCs w:val="22"/>
        </w:rPr>
        <w:t>ROSIANE CRISTINA VIEIRA NÉIA STORTI</w:t>
      </w:r>
    </w:p>
    <w:p>
      <w:pPr>
        <w:pStyle w:val="Normal"/>
        <w:ind w:right="-2" w:hanging="0"/>
        <w:jc w:val="center"/>
        <w:rPr>
          <w:bCs/>
          <w:sz w:val="22"/>
          <w:szCs w:val="22"/>
        </w:rPr>
      </w:pPr>
      <w:r>
        <w:rPr>
          <w:bCs/>
          <w:sz w:val="22"/>
          <w:szCs w:val="22"/>
        </w:rPr>
        <w:t>Secretária Municipal de Assistência Social</w:t>
      </w:r>
    </w:p>
    <w:p>
      <w:pPr>
        <w:pStyle w:val="Normal"/>
        <w:ind w:right="-2" w:hanging="0"/>
        <w:jc w:val="center"/>
        <w:rPr>
          <w:b/>
          <w:sz w:val="22"/>
          <w:szCs w:val="22"/>
        </w:rPr>
      </w:pPr>
      <w:r>
        <w:rPr>
          <w:b/>
          <w:sz w:val="22"/>
          <w:szCs w:val="22"/>
        </w:rPr>
      </w:r>
    </w:p>
    <w:p>
      <w:pPr>
        <w:pStyle w:val="Normal"/>
        <w:ind w:right="-2" w:hanging="0"/>
        <w:jc w:val="center"/>
        <w:rPr>
          <w:b/>
          <w:sz w:val="22"/>
          <w:szCs w:val="22"/>
        </w:rPr>
      </w:pPr>
      <w:r>
        <w:rPr>
          <w:b/>
          <w:sz w:val="22"/>
          <w:szCs w:val="22"/>
        </w:rPr>
      </w:r>
    </w:p>
    <w:p>
      <w:pPr>
        <w:pStyle w:val="Normal"/>
        <w:ind w:right="-2" w:hanging="0"/>
        <w:jc w:val="center"/>
        <w:rPr>
          <w:b/>
          <w:sz w:val="22"/>
          <w:szCs w:val="22"/>
        </w:rPr>
      </w:pPr>
      <w:r>
        <w:rPr>
          <w:b/>
          <w:sz w:val="22"/>
          <w:szCs w:val="22"/>
        </w:rPr>
      </w:r>
    </w:p>
    <w:p>
      <w:pPr>
        <w:pStyle w:val="Normal"/>
        <w:ind w:right="-2" w:hanging="0"/>
        <w:jc w:val="center"/>
        <w:rPr>
          <w:b/>
          <w:sz w:val="22"/>
          <w:szCs w:val="22"/>
        </w:rPr>
      </w:pPr>
      <w:r>
        <w:rPr>
          <w:b/>
          <w:sz w:val="22"/>
          <w:szCs w:val="22"/>
        </w:rPr>
      </w:r>
    </w:p>
    <w:p>
      <w:pPr>
        <w:pStyle w:val="Normal"/>
        <w:suppressAutoHyphens w:val="true"/>
        <w:rPr>
          <w:b/>
          <w:sz w:val="22"/>
          <w:szCs w:val="22"/>
        </w:rPr>
      </w:pPr>
      <w:r>
        <w:rPr/>
      </w:r>
    </w:p>
    <w:sectPr>
      <w:headerReference w:type="default" r:id="rId9"/>
      <w:footerReference w:type="default" r:id="rId10"/>
      <w:type w:val="nextPage"/>
      <w:pgSz w:w="11906" w:h="16838"/>
      <w:pgMar w:left="1701" w:right="851" w:gutter="0" w:header="720" w:top="2410" w:footer="720" w:bottom="992"/>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Nyala">
    <w:charset w:val="00"/>
    <w:family w:val="roman"/>
    <w:pitch w:val="variable"/>
  </w:font>
  <w:font w:name="Georgia">
    <w:charset w:val="00"/>
    <w:family w:val="roman"/>
    <w:pitch w:val="variable"/>
  </w:font>
  <w:font w:name="Arial">
    <w:charset w:val="00"/>
    <w:family w:val="roman"/>
    <w:pitch w:val="variable"/>
  </w:font>
  <w:font w:name="Algerian">
    <w:altName w:val="comic"/>
    <w:charset w:val="00"/>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Rua Frei Rafael Proner  nº 1457 – Caixa Postal 281 – CEP 86.360-000 –– Tel: (43) 3542-4525 – Fax 3542-3322  e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ind w:left="-57" w:hanging="0"/>
      <w:rPr/>
    </w:pPr>
    <w:r>
      <w:rPr/>
      <w:drawing>
        <wp:anchor behindDoc="1" distT="0" distB="0" distL="0" distR="0" simplePos="0" locked="0" layoutInCell="0" allowOverlap="1" relativeHeight="24">
          <wp:simplePos x="0" y="0"/>
          <wp:positionH relativeFrom="column">
            <wp:posOffset>-1270</wp:posOffset>
          </wp:positionH>
          <wp:positionV relativeFrom="paragraph">
            <wp:posOffset>3810</wp:posOffset>
          </wp:positionV>
          <wp:extent cx="979805" cy="1045845"/>
          <wp:effectExtent l="0" t="0" r="0" b="0"/>
          <wp:wrapNone/>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mc:AlternateContent>
        <mc:Choice Requires="wps">
          <w:drawing>
            <wp:anchor behindDoc="1" distT="109855" distB="0" distL="538480" distR="0" simplePos="0" locked="0" layoutInCell="0" allowOverlap="1" relativeHeight="47" wp14:anchorId="758E2E8B">
              <wp:simplePos x="0" y="0"/>
              <wp:positionH relativeFrom="column">
                <wp:posOffset>1028700</wp:posOffset>
              </wp:positionH>
              <wp:positionV relativeFrom="paragraph">
                <wp:posOffset>12065</wp:posOffset>
              </wp:positionV>
              <wp:extent cx="4241800" cy="864235"/>
              <wp:effectExtent l="538480" t="109855" r="0" b="0"/>
              <wp:wrapNone/>
              <wp:docPr id="3" name="Retângulo 6"/>
              <a:graphic xmlns:a="http://schemas.openxmlformats.org/drawingml/2006/main">
                <a:graphicData uri="http://schemas.microsoft.com/office/word/2010/wordprocessingShape">
                  <wps:wsp>
                    <wps:cNvSpPr/>
                    <wps:spPr>
                      <a:xfrm>
                        <a:off x="0" y="0"/>
                        <a:ext cx="4241880" cy="864360"/>
                      </a:xfrm>
                      <a:custGeom>
                        <a:avLst/>
                        <a:gdLst>
                          <a:gd name="textAreaLeft" fmla="*/ 0 w 2404800"/>
                          <a:gd name="textAreaRight" fmla="*/ 2408400 w 2404800"/>
                          <a:gd name="textAreaTop" fmla="*/ 0 h 489960"/>
                          <a:gd name="textAreaBottom" fmla="*/ 493560 h 489960"/>
                        </a:gdLst>
                        <a:ahLst/>
                        <a:rect l="textAreaLeft" t="textAreaTop" r="textAreaRight" b="textAreaBottom"/>
                        <a:pathLst>
                          <a:path w="1000" h="1000">
                            <a:moveTo>
                              <a:pt x="0" y="0"/>
                            </a:moveTo>
                            <a:lnTo>
                              <a:pt x="-127" y="0"/>
                            </a:lnTo>
                            <a:lnTo>
                              <a:pt x="-127" y="-127"/>
                            </a:lnTo>
                            <a:lnTo>
                              <a:pt x="0" y="-127"/>
                            </a:lnTo>
                            <a:close/>
                          </a:path>
                        </a:pathLst>
                      </a:custGeom>
                      <a:noFill/>
                      <a:ln w="0">
                        <a:noFill/>
                      </a:ln>
                    </wps:spPr>
                    <wps:style>
                      <a:lnRef idx="0"/>
                      <a:fillRef idx="0"/>
                      <a:effectRef idx="0"/>
                      <a:fontRef idx="minor"/>
                    </wps:style>
                    <wps:bodyPr/>
                  </wps:wsp>
                </a:graphicData>
              </a:graphic>
            </wp:anchor>
          </w:drawing>
        </mc:Choice>
        <mc:Fallback>
          <w:pict/>
        </mc:Fallback>
      </mc:AlternateContent>
    </w:r>
  </w:p>
  <w:p>
    <w:pPr>
      <w:pStyle w:val="Contedodoquadro"/>
      <w:spacing w:before="360" w:after="0"/>
      <w:ind w:left="1" w:hanging="3"/>
      <w:jc w:val="center"/>
      <w:rPr>
        <w:sz w:val="28"/>
        <w:szCs w:val="28"/>
      </w:rPr>
    </w:pPr>
    <w:r>
      <w:rPr>
        <w:rFonts w:eastAsia="Algerian" w:cs="Algerian" w:ascii="Algerian" w:hAnsi="Algerian"/>
        <w:i/>
        <w:color w:val="000000"/>
        <w:sz w:val="28"/>
        <w:szCs w:val="28"/>
      </w:rPr>
      <w:t>PREFEITURA MUNICIPAL DE BANDEIRANTES</w:t>
    </w:r>
  </w:p>
  <w:p>
    <w:pPr>
      <w:pStyle w:val="Normal"/>
      <w:tabs>
        <w:tab w:val="clear" w:pos="720"/>
        <w:tab w:val="center" w:pos="4252" w:leader="none"/>
        <w:tab w:val="right" w:pos="8504" w:leader="none"/>
      </w:tabs>
      <w:ind w:hanging="2"/>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8" w:hanging="570"/>
      </w:pPr>
      <w:rPr/>
    </w:lvl>
    <w:lvl w:ilvl="1">
      <w:start w:val="1"/>
      <w:numFmt w:val="decimal"/>
      <w:lvlText w:val="%1.%2."/>
      <w:lvlJc w:val="left"/>
      <w:pPr>
        <w:tabs>
          <w:tab w:val="num" w:pos="0"/>
        </w:tabs>
        <w:ind w:left="358" w:hanging="360"/>
      </w:pPr>
      <w:rPr>
        <w:b/>
        <w:bCs/>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rPr/>
    </w:lvl>
    <w:lvl w:ilvl="4">
      <w:start w:val="1"/>
      <w:numFmt w:val="decimal"/>
      <w:lvlText w:val="%1.%2.%3.%4.%5."/>
      <w:lvlJc w:val="left"/>
      <w:pPr>
        <w:tabs>
          <w:tab w:val="num" w:pos="0"/>
        </w:tabs>
        <w:ind w:left="1078" w:hanging="1080"/>
      </w:pPr>
      <w:rPr/>
    </w:lvl>
    <w:lvl w:ilvl="5">
      <w:start w:val="1"/>
      <w:numFmt w:val="decimal"/>
      <w:lvlText w:val="%1.%2.%3.%4.%5.%6."/>
      <w:lvlJc w:val="left"/>
      <w:pPr>
        <w:tabs>
          <w:tab w:val="num" w:pos="0"/>
        </w:tabs>
        <w:ind w:left="1078" w:hanging="1080"/>
      </w:pPr>
      <w:rPr/>
    </w:lvl>
    <w:lvl w:ilvl="6">
      <w:start w:val="1"/>
      <w:numFmt w:val="decimal"/>
      <w:lvlText w:val="%1.%2.%3.%4.%5.%6.%7."/>
      <w:lvlJc w:val="left"/>
      <w:pPr>
        <w:tabs>
          <w:tab w:val="num" w:pos="0"/>
        </w:tabs>
        <w:ind w:left="1438" w:hanging="1440"/>
      </w:pPr>
      <w:rPr/>
    </w:lvl>
    <w:lvl w:ilvl="7">
      <w:start w:val="1"/>
      <w:numFmt w:val="decimal"/>
      <w:lvlText w:val="%1.%2.%3.%4.%5.%6.%7.%8."/>
      <w:lvlJc w:val="left"/>
      <w:pPr>
        <w:tabs>
          <w:tab w:val="num" w:pos="0"/>
        </w:tabs>
        <w:ind w:left="1438" w:hanging="1440"/>
      </w:pPr>
      <w:rPr/>
    </w:lvl>
    <w:lvl w:ilvl="8">
      <w:start w:val="1"/>
      <w:numFmt w:val="decimal"/>
      <w:lvlText w:val="%1.%2.%3.%4.%5.%6.%7.%8.%9."/>
      <w:lvlJc w:val="left"/>
      <w:pPr>
        <w:tabs>
          <w:tab w:val="num" w:pos="0"/>
        </w:tabs>
        <w:ind w:left="1798" w:hanging="1800"/>
      </w:pPr>
      <w:rPr/>
    </w:lvl>
  </w:abstractNum>
  <w:abstractNum w:abstractNumId="2">
    <w:lvl w:ilvl="0">
      <w:start w:val="1"/>
      <w:numFmt w:val="decimal"/>
      <w:lvlText w:val="%1."/>
      <w:lvlJc w:val="left"/>
      <w:pPr>
        <w:tabs>
          <w:tab w:val="num" w:pos="0"/>
        </w:tabs>
        <w:ind w:left="358" w:hanging="360"/>
      </w:pPr>
      <w:rPr>
        <w:color w:val="auto"/>
      </w:rPr>
    </w:lvl>
    <w:lvl w:ilvl="1">
      <w:start w:val="1"/>
      <w:numFmt w:val="lowerLetter"/>
      <w:lvlText w:val="%2."/>
      <w:lvlJc w:val="left"/>
      <w:pPr>
        <w:tabs>
          <w:tab w:val="num" w:pos="0"/>
        </w:tabs>
        <w:ind w:left="1078" w:hanging="360"/>
      </w:pPr>
      <w:rPr/>
    </w:lvl>
    <w:lvl w:ilvl="2">
      <w:start w:val="1"/>
      <w:numFmt w:val="lowerRoman"/>
      <w:lvlText w:val="%3."/>
      <w:lvlJc w:val="right"/>
      <w:pPr>
        <w:tabs>
          <w:tab w:val="num" w:pos="0"/>
        </w:tabs>
        <w:ind w:left="1798" w:hanging="180"/>
      </w:pPr>
      <w:rPr/>
    </w:lvl>
    <w:lvl w:ilvl="3">
      <w:start w:val="1"/>
      <w:numFmt w:val="decimal"/>
      <w:lvlText w:val="%4."/>
      <w:lvlJc w:val="left"/>
      <w:pPr>
        <w:tabs>
          <w:tab w:val="num" w:pos="0"/>
        </w:tabs>
        <w:ind w:left="2518" w:hanging="360"/>
      </w:pPr>
      <w:rPr/>
    </w:lvl>
    <w:lvl w:ilvl="4">
      <w:start w:val="1"/>
      <w:numFmt w:val="lowerLetter"/>
      <w:lvlText w:val="%5."/>
      <w:lvlJc w:val="left"/>
      <w:pPr>
        <w:tabs>
          <w:tab w:val="num" w:pos="0"/>
        </w:tabs>
        <w:ind w:left="3238" w:hanging="360"/>
      </w:pPr>
      <w:rPr/>
    </w:lvl>
    <w:lvl w:ilvl="5">
      <w:start w:val="1"/>
      <w:numFmt w:val="lowerRoman"/>
      <w:lvlText w:val="%6."/>
      <w:lvlJc w:val="right"/>
      <w:pPr>
        <w:tabs>
          <w:tab w:val="num" w:pos="0"/>
        </w:tabs>
        <w:ind w:left="3958" w:hanging="180"/>
      </w:pPr>
      <w:rPr/>
    </w:lvl>
    <w:lvl w:ilvl="6">
      <w:start w:val="1"/>
      <w:numFmt w:val="decimal"/>
      <w:lvlText w:val="%7."/>
      <w:lvlJc w:val="left"/>
      <w:pPr>
        <w:tabs>
          <w:tab w:val="num" w:pos="0"/>
        </w:tabs>
        <w:ind w:left="4678" w:hanging="360"/>
      </w:pPr>
      <w:rPr/>
    </w:lvl>
    <w:lvl w:ilvl="7">
      <w:start w:val="1"/>
      <w:numFmt w:val="lowerLetter"/>
      <w:lvlText w:val="%8."/>
      <w:lvlJc w:val="left"/>
      <w:pPr>
        <w:tabs>
          <w:tab w:val="num" w:pos="0"/>
        </w:tabs>
        <w:ind w:left="5398" w:hanging="360"/>
      </w:pPr>
      <w:rPr/>
    </w:lvl>
    <w:lvl w:ilvl="8">
      <w:start w:val="1"/>
      <w:numFmt w:val="lowerRoman"/>
      <w:lvlText w:val="%9."/>
      <w:lvlJc w:val="right"/>
      <w:pPr>
        <w:tabs>
          <w:tab w:val="num" w:pos="0"/>
        </w:tabs>
        <w:ind w:left="6118" w:hanging="180"/>
      </w:pPr>
      <w:rPr/>
    </w:lvl>
  </w:abstractNum>
  <w:abstractNum w:abstractNumId="3">
    <w:lvl w:ilvl="0">
      <w:start w:val="1"/>
      <w:numFmt w:val="decimal"/>
      <w:lvlText w:val=" %1."/>
      <w:lvlJc w:val="left"/>
      <w:pPr>
        <w:tabs>
          <w:tab w:val="num" w:pos="720"/>
        </w:tabs>
        <w:ind w:left="720" w:hanging="360"/>
      </w:pPr>
      <w:rPr>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58" w:hanging="360"/>
      </w:pPr>
      <w:rPr/>
    </w:lvl>
    <w:lvl w:ilvl="1">
      <w:start w:val="4"/>
      <w:numFmt w:val="decimal"/>
      <w:lvlText w:val="%1.%2."/>
      <w:lvlJc w:val="left"/>
      <w:pPr>
        <w:tabs>
          <w:tab w:val="num" w:pos="0"/>
        </w:tabs>
        <w:ind w:left="539" w:hanging="540"/>
      </w:pPr>
      <w:rPr/>
    </w:lvl>
    <w:lvl w:ilvl="2">
      <w:start w:val="4"/>
      <w:numFmt w:val="decimal"/>
      <w:lvlText w:val="%1.%2.%3."/>
      <w:lvlJc w:val="left"/>
      <w:pPr>
        <w:tabs>
          <w:tab w:val="num" w:pos="0"/>
        </w:tabs>
        <w:ind w:left="720" w:hanging="720"/>
      </w:pPr>
      <w:rPr/>
    </w:lvl>
    <w:lvl w:ilvl="3">
      <w:start w:val="1"/>
      <w:numFmt w:val="decimal"/>
      <w:lvlText w:val="%1.%2.%3.%4."/>
      <w:lvlJc w:val="left"/>
      <w:pPr>
        <w:tabs>
          <w:tab w:val="num" w:pos="0"/>
        </w:tabs>
        <w:ind w:left="721" w:hanging="720"/>
      </w:pPr>
      <w:rPr/>
    </w:lvl>
    <w:lvl w:ilvl="4">
      <w:start w:val="1"/>
      <w:numFmt w:val="decimal"/>
      <w:lvlText w:val="%1.%2.%3.%4.%5."/>
      <w:lvlJc w:val="left"/>
      <w:pPr>
        <w:tabs>
          <w:tab w:val="num" w:pos="0"/>
        </w:tabs>
        <w:ind w:left="1082" w:hanging="1080"/>
      </w:pPr>
      <w:rPr/>
    </w:lvl>
    <w:lvl w:ilvl="5">
      <w:start w:val="1"/>
      <w:numFmt w:val="decimal"/>
      <w:lvlText w:val="%1.%2.%3.%4.%5.%6."/>
      <w:lvlJc w:val="left"/>
      <w:pPr>
        <w:tabs>
          <w:tab w:val="num" w:pos="0"/>
        </w:tabs>
        <w:ind w:left="1083" w:hanging="1080"/>
      </w:pPr>
      <w:rPr/>
    </w:lvl>
    <w:lvl w:ilvl="6">
      <w:start w:val="1"/>
      <w:numFmt w:val="decimal"/>
      <w:lvlText w:val="%1.%2.%3.%4.%5.%6.%7."/>
      <w:lvlJc w:val="left"/>
      <w:pPr>
        <w:tabs>
          <w:tab w:val="num" w:pos="0"/>
        </w:tabs>
        <w:ind w:left="1444" w:hanging="1440"/>
      </w:pPr>
      <w:rPr/>
    </w:lvl>
    <w:lvl w:ilvl="7">
      <w:start w:val="1"/>
      <w:numFmt w:val="decimal"/>
      <w:lvlText w:val="%1.%2.%3.%4.%5.%6.%7.%8."/>
      <w:lvlJc w:val="left"/>
      <w:pPr>
        <w:tabs>
          <w:tab w:val="num" w:pos="0"/>
        </w:tabs>
        <w:ind w:left="1445" w:hanging="1440"/>
      </w:pPr>
      <w:rPr/>
    </w:lvl>
    <w:lvl w:ilvl="8">
      <w:start w:val="1"/>
      <w:numFmt w:val="decimal"/>
      <w:lvlText w:val="%1.%2.%3.%4.%5.%6.%7.%8.%9."/>
      <w:lvlJc w:val="left"/>
      <w:pPr>
        <w:tabs>
          <w:tab w:val="num" w:pos="0"/>
        </w:tabs>
        <w:ind w:left="1806" w:hanging="1800"/>
      </w:pPr>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bullet"/>
      <w:lvlText w:val=""/>
      <w:lvlJc w:val="left"/>
      <w:pPr>
        <w:tabs>
          <w:tab w:val="num" w:pos="0"/>
        </w:tabs>
        <w:ind w:left="718" w:hanging="360"/>
      </w:pPr>
      <w:rPr>
        <w:rFonts w:ascii="Wingdings" w:hAnsi="Wingdings" w:cs="Wingdings" w:hint="default"/>
      </w:rPr>
    </w:lvl>
    <w:lvl w:ilvl="1">
      <w:start w:val="1"/>
      <w:numFmt w:val="bullet"/>
      <w:lvlText w:val="o"/>
      <w:lvlJc w:val="left"/>
      <w:pPr>
        <w:tabs>
          <w:tab w:val="num" w:pos="0"/>
        </w:tabs>
        <w:ind w:left="1438" w:hanging="360"/>
      </w:pPr>
      <w:rPr>
        <w:rFonts w:ascii="Courier New" w:hAnsi="Courier New" w:cs="Courier New" w:hint="default"/>
      </w:rPr>
    </w:lvl>
    <w:lvl w:ilvl="2">
      <w:start w:val="1"/>
      <w:numFmt w:val="bullet"/>
      <w:lvlText w:val=""/>
      <w:lvlJc w:val="left"/>
      <w:pPr>
        <w:tabs>
          <w:tab w:val="num" w:pos="0"/>
        </w:tabs>
        <w:ind w:left="2158" w:hanging="360"/>
      </w:pPr>
      <w:rPr>
        <w:rFonts w:ascii="Wingdings" w:hAnsi="Wingdings" w:cs="Wingdings" w:hint="default"/>
      </w:rPr>
    </w:lvl>
    <w:lvl w:ilvl="3">
      <w:start w:val="1"/>
      <w:numFmt w:val="bullet"/>
      <w:lvlText w:val=""/>
      <w:lvlJc w:val="left"/>
      <w:pPr>
        <w:tabs>
          <w:tab w:val="num" w:pos="0"/>
        </w:tabs>
        <w:ind w:left="2878" w:hanging="360"/>
      </w:pPr>
      <w:rPr>
        <w:rFonts w:ascii="Symbol" w:hAnsi="Symbol" w:cs="Symbol" w:hint="default"/>
      </w:rPr>
    </w:lvl>
    <w:lvl w:ilvl="4">
      <w:start w:val="1"/>
      <w:numFmt w:val="bullet"/>
      <w:lvlText w:val="o"/>
      <w:lvlJc w:val="left"/>
      <w:pPr>
        <w:tabs>
          <w:tab w:val="num" w:pos="0"/>
        </w:tabs>
        <w:ind w:left="3598" w:hanging="360"/>
      </w:pPr>
      <w:rPr>
        <w:rFonts w:ascii="Courier New" w:hAnsi="Courier New" w:cs="Courier New" w:hint="default"/>
      </w:rPr>
    </w:lvl>
    <w:lvl w:ilvl="5">
      <w:start w:val="1"/>
      <w:numFmt w:val="bullet"/>
      <w:lvlText w:val=""/>
      <w:lvlJc w:val="left"/>
      <w:pPr>
        <w:tabs>
          <w:tab w:val="num" w:pos="0"/>
        </w:tabs>
        <w:ind w:left="4318" w:hanging="360"/>
      </w:pPr>
      <w:rPr>
        <w:rFonts w:ascii="Wingdings" w:hAnsi="Wingdings" w:cs="Wingdings" w:hint="default"/>
      </w:rPr>
    </w:lvl>
    <w:lvl w:ilvl="6">
      <w:start w:val="1"/>
      <w:numFmt w:val="bullet"/>
      <w:lvlText w:val=""/>
      <w:lvlJc w:val="left"/>
      <w:pPr>
        <w:tabs>
          <w:tab w:val="num" w:pos="0"/>
        </w:tabs>
        <w:ind w:left="5038" w:hanging="360"/>
      </w:pPr>
      <w:rPr>
        <w:rFonts w:ascii="Symbol" w:hAnsi="Symbol" w:cs="Symbol" w:hint="default"/>
      </w:rPr>
    </w:lvl>
    <w:lvl w:ilvl="7">
      <w:start w:val="1"/>
      <w:numFmt w:val="bullet"/>
      <w:lvlText w:val="o"/>
      <w:lvlJc w:val="left"/>
      <w:pPr>
        <w:tabs>
          <w:tab w:val="num" w:pos="0"/>
        </w:tabs>
        <w:ind w:left="5758" w:hanging="360"/>
      </w:pPr>
      <w:rPr>
        <w:rFonts w:ascii="Courier New" w:hAnsi="Courier New" w:cs="Courier New" w:hint="default"/>
      </w:rPr>
    </w:lvl>
    <w:lvl w:ilvl="8">
      <w:start w:val="1"/>
      <w:numFmt w:val="bullet"/>
      <w:lvlText w:val=""/>
      <w:lvlJc w:val="left"/>
      <w:pPr>
        <w:tabs>
          <w:tab w:val="num" w:pos="0"/>
        </w:tabs>
        <w:ind w:left="6478" w:hanging="360"/>
      </w:pPr>
      <w:rPr>
        <w:rFonts w:ascii="Wingdings" w:hAnsi="Wingdings" w:cs="Wingdings" w:hint="default"/>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d5739"/>
    <w:pPr>
      <w:widowControl/>
      <w:suppressAutoHyphens w:val="fals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Ttulo1">
    <w:name w:val="Heading 1"/>
    <w:basedOn w:val="Normal"/>
    <w:next w:val="Normal"/>
    <w:qFormat/>
    <w:rsid w:val="008761d4"/>
    <w:pPr>
      <w:keepNext w:val="true"/>
      <w:ind w:left="3969" w:hanging="0"/>
      <w:jc w:val="both"/>
      <w:outlineLvl w:val="0"/>
    </w:pPr>
    <w:rPr>
      <w:b/>
      <w:szCs w:val="20"/>
      <w:u w:val="single"/>
    </w:rPr>
  </w:style>
  <w:style w:type="paragraph" w:styleId="Ttulo2">
    <w:name w:val="Heading 2"/>
    <w:basedOn w:val="Normal"/>
    <w:next w:val="Normal"/>
    <w:qFormat/>
    <w:rsid w:val="008761d4"/>
    <w:pPr>
      <w:keepNext w:val="true"/>
      <w:keepLines/>
      <w:spacing w:before="360" w:after="80"/>
      <w:outlineLvl w:val="1"/>
    </w:pPr>
    <w:rPr>
      <w:b/>
      <w:sz w:val="36"/>
      <w:szCs w:val="36"/>
    </w:rPr>
  </w:style>
  <w:style w:type="paragraph" w:styleId="Ttulo3">
    <w:name w:val="Heading 3"/>
    <w:basedOn w:val="Normal"/>
    <w:next w:val="Normal"/>
    <w:qFormat/>
    <w:rsid w:val="008761d4"/>
    <w:pPr>
      <w:keepNext w:val="true"/>
      <w:spacing w:before="240" w:after="60"/>
      <w:outlineLvl w:val="2"/>
    </w:pPr>
    <w:rPr>
      <w:rFonts w:ascii="Calibri Light" w:hAnsi="Calibri Light"/>
      <w:b/>
      <w:bCs/>
      <w:sz w:val="26"/>
      <w:szCs w:val="26"/>
    </w:rPr>
  </w:style>
  <w:style w:type="paragraph" w:styleId="Ttulo4">
    <w:name w:val="Heading 4"/>
    <w:basedOn w:val="Normal"/>
    <w:next w:val="Normal"/>
    <w:qFormat/>
    <w:rsid w:val="008761d4"/>
    <w:pPr>
      <w:keepNext w:val="true"/>
      <w:keepLines/>
      <w:spacing w:before="240" w:after="40"/>
      <w:outlineLvl w:val="3"/>
    </w:pPr>
    <w:rPr>
      <w:b/>
    </w:rPr>
  </w:style>
  <w:style w:type="paragraph" w:styleId="Ttulo5">
    <w:name w:val="Heading 5"/>
    <w:basedOn w:val="Normal"/>
    <w:next w:val="Normal"/>
    <w:qFormat/>
    <w:rsid w:val="008761d4"/>
    <w:pPr>
      <w:keepNext w:val="true"/>
      <w:keepLines/>
      <w:spacing w:before="220" w:after="40"/>
      <w:outlineLvl w:val="4"/>
    </w:pPr>
    <w:rPr>
      <w:b/>
      <w:sz w:val="22"/>
      <w:szCs w:val="22"/>
    </w:rPr>
  </w:style>
  <w:style w:type="paragraph" w:styleId="Ttulo6">
    <w:name w:val="Heading 6"/>
    <w:basedOn w:val="Normal"/>
    <w:next w:val="Normal"/>
    <w:qFormat/>
    <w:rsid w:val="008761d4"/>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uiPriority w:val="99"/>
    <w:qFormat/>
    <w:rsid w:val="008761d4"/>
    <w:rPr>
      <w:w w:val="100"/>
      <w:position w:val="0"/>
      <w:sz w:val="24"/>
      <w:sz w:val="24"/>
      <w:szCs w:val="24"/>
      <w:effect w:val="none"/>
      <w:vertAlign w:val="baseline"/>
      <w:em w:val="none"/>
    </w:rPr>
  </w:style>
  <w:style w:type="character" w:styleId="RodapChar" w:customStyle="1">
    <w:name w:val="Rodapé Char"/>
    <w:qFormat/>
    <w:rsid w:val="008761d4"/>
    <w:rPr>
      <w:w w:val="100"/>
      <w:position w:val="0"/>
      <w:sz w:val="24"/>
      <w:sz w:val="24"/>
      <w:szCs w:val="24"/>
      <w:effect w:val="none"/>
      <w:vertAlign w:val="baseline"/>
      <w:em w:val="none"/>
    </w:rPr>
  </w:style>
  <w:style w:type="character" w:styleId="TextodebaloChar" w:customStyle="1">
    <w:name w:val="Texto de balão Char"/>
    <w:qFormat/>
    <w:rsid w:val="008761d4"/>
    <w:rPr>
      <w:rFonts w:ascii="Segoe UI" w:hAnsi="Segoe UI" w:cs="Segoe UI"/>
      <w:w w:val="100"/>
      <w:position w:val="0"/>
      <w:sz w:val="18"/>
      <w:sz w:val="18"/>
      <w:szCs w:val="18"/>
      <w:effect w:val="none"/>
      <w:vertAlign w:val="baseline"/>
      <w:em w:val="none"/>
    </w:rPr>
  </w:style>
  <w:style w:type="character" w:styleId="Ttulo3Char" w:customStyle="1">
    <w:name w:val="Título 3 Char"/>
    <w:qFormat/>
    <w:rsid w:val="008761d4"/>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sid w:val="008761d4"/>
    <w:rPr>
      <w:w w:val="100"/>
      <w:position w:val="0"/>
      <w:sz w:val="16"/>
      <w:sz w:val="16"/>
      <w:szCs w:val="16"/>
      <w:effect w:val="none"/>
      <w:vertAlign w:val="baseline"/>
      <w:em w:val="none"/>
    </w:rPr>
  </w:style>
  <w:style w:type="character" w:styleId="TextodenotaderodapChar" w:customStyle="1">
    <w:name w:val="Texto de nota de rodapé Char"/>
    <w:basedOn w:val="DefaultParagraphFont"/>
    <w:uiPriority w:val="99"/>
    <w:semiHidden/>
    <w:qFormat/>
    <w:rsid w:val="00663379"/>
    <w:rPr>
      <w:sz w:val="20"/>
      <w:szCs w:val="20"/>
      <w:vertAlign w:val="subscript"/>
    </w:rPr>
  </w:style>
  <w:style w:type="character" w:styleId="Caracteresdenotaderodap">
    <w:name w:val="Caracteres de nota de rodapé"/>
    <w:qFormat/>
    <w:rsid w:val="008761d4"/>
    <w:rPr>
      <w:vertAlign w:val="superscript"/>
    </w:rPr>
  </w:style>
  <w:style w:type="character" w:styleId="Ncoradanotaderodap">
    <w:name w:val="Footnote Reference"/>
    <w:rPr>
      <w:vertAlign w:val="superscript"/>
    </w:rPr>
  </w:style>
  <w:style w:type="character" w:styleId="LinkdaInternet">
    <w:name w:val="Hyperlink"/>
    <w:basedOn w:val="DefaultParagraphFont"/>
    <w:uiPriority w:val="99"/>
    <w:unhideWhenUsed/>
    <w:rsid w:val="009a22ee"/>
    <w:rPr>
      <w:color w:val="0000FF" w:themeColor="hyperlink"/>
      <w:u w:val="single"/>
    </w:rPr>
  </w:style>
  <w:style w:type="character" w:styleId="MenoPendente1" w:customStyle="1">
    <w:name w:val="Menção Pendente1"/>
    <w:basedOn w:val="DefaultParagraphFont"/>
    <w:uiPriority w:val="99"/>
    <w:semiHidden/>
    <w:unhideWhenUsed/>
    <w:qFormat/>
    <w:rsid w:val="00645ec7"/>
    <w:rPr>
      <w:color w:val="605E5C"/>
      <w:shd w:fill="E1DFDD" w:val="clear"/>
    </w:rPr>
  </w:style>
  <w:style w:type="character" w:styleId="Strong">
    <w:name w:val="Strong"/>
    <w:qFormat/>
    <w:rPr>
      <w:b/>
      <w:bCs/>
    </w:rPr>
  </w:style>
  <w:style w:type="character" w:styleId="MenoPendente2" w:customStyle="1">
    <w:name w:val="Menção Pendente2"/>
    <w:basedOn w:val="DefaultParagraphFont"/>
    <w:uiPriority w:val="99"/>
    <w:semiHidden/>
    <w:unhideWhenUsed/>
    <w:qFormat/>
    <w:rsid w:val="006e688c"/>
    <w:rPr>
      <w:color w:val="605E5C"/>
      <w:shd w:fill="E1DFDD" w:val="clear"/>
    </w:rPr>
  </w:style>
  <w:style w:type="character" w:styleId="Marcadores" w:customStyle="1">
    <w:name w:val="Marcadores"/>
    <w:qFormat/>
    <w:rsid w:val="008761d4"/>
    <w:rPr>
      <w:rFonts w:ascii="OpenSymbol" w:hAnsi="OpenSymbol" w:eastAsia="OpenSymbol" w:cs="OpenSymbol"/>
    </w:rPr>
  </w:style>
  <w:style w:type="character" w:styleId="TextodenotadefimChar" w:customStyle="1">
    <w:name w:val="Texto de nota de fim Char"/>
    <w:basedOn w:val="DefaultParagraphFont"/>
    <w:uiPriority w:val="99"/>
    <w:semiHidden/>
    <w:qFormat/>
    <w:rsid w:val="002d059c"/>
    <w:rPr>
      <w:sz w:val="20"/>
      <w:szCs w:val="20"/>
    </w:rPr>
  </w:style>
  <w:style w:type="character" w:styleId="Caracteresdenotadefim">
    <w:name w:val="Caracteres de nota de fim"/>
    <w:qFormat/>
    <w:rsid w:val="008761d4"/>
    <w:rPr>
      <w:vertAlign w:val="superscript"/>
    </w:rPr>
  </w:style>
  <w:style w:type="character" w:styleId="Ncoradanotadefim">
    <w:name w:val="Endnote Reference"/>
    <w:rPr>
      <w:vertAlign w:val="superscript"/>
    </w:rPr>
  </w:style>
  <w:style w:type="character" w:styleId="Nfase">
    <w:name w:val="Emphasis"/>
    <w:basedOn w:val="DefaultParagraphFont"/>
    <w:uiPriority w:val="20"/>
    <w:qFormat/>
    <w:rsid w:val="002d059c"/>
    <w:rPr>
      <w:i/>
      <w:iCs/>
    </w:rPr>
  </w:style>
  <w:style w:type="character" w:styleId="Smbolosdenumerao" w:customStyle="1">
    <w:name w:val="Símbolos de numeração"/>
    <w:qFormat/>
    <w:rsid w:val="008761d4"/>
    <w:rPr/>
  </w:style>
  <w:style w:type="character" w:styleId="MenoPendente3" w:customStyle="1">
    <w:name w:val="Menção Pendente3"/>
    <w:basedOn w:val="DefaultParagraphFont"/>
    <w:qFormat/>
    <w:rsid w:val="008761d4"/>
    <w:rPr>
      <w:color w:val="605E5C"/>
      <w:shd w:fill="E1DFDD" w:val="clear"/>
    </w:rPr>
  </w:style>
  <w:style w:type="character" w:styleId="TextodecomentrioChar" w:customStyle="1">
    <w:name w:val="Texto de comentário Char"/>
    <w:basedOn w:val="DefaultParagraphFont"/>
    <w:qFormat/>
    <w:rsid w:val="008761d4"/>
    <w:rPr>
      <w:rFonts w:eastAsia="Times New Roman" w:cs="Times New Roman"/>
      <w:sz w:val="20"/>
      <w:szCs w:val="20"/>
    </w:rPr>
  </w:style>
  <w:style w:type="character" w:styleId="Annotationreference">
    <w:name w:val="annotation reference"/>
    <w:basedOn w:val="DefaultParagraphFont"/>
    <w:qFormat/>
    <w:rsid w:val="008761d4"/>
    <w:rPr>
      <w:sz w:val="16"/>
      <w:szCs w:val="16"/>
    </w:rPr>
  </w:style>
  <w:style w:type="character" w:styleId="Adr" w:customStyle="1">
    <w:name w:val="adr"/>
    <w:basedOn w:val="DefaultParagraphFont"/>
    <w:qFormat/>
    <w:rsid w:val="0092509a"/>
    <w:rPr/>
  </w:style>
  <w:style w:type="character" w:styleId="Ng-star-inserted" w:customStyle="1">
    <w:name w:val="ng-star-inserted"/>
    <w:basedOn w:val="DefaultParagraphFont"/>
    <w:qFormat/>
    <w:rsid w:val="00167d38"/>
    <w:rPr/>
  </w:style>
  <w:style w:type="character" w:styleId="Citation-21" w:customStyle="1">
    <w:name w:val="citation-21"/>
    <w:basedOn w:val="DefaultParagraphFont"/>
    <w:qFormat/>
    <w:rsid w:val="005c247d"/>
    <w:rPr/>
  </w:style>
  <w:style w:type="character" w:styleId="Citation-20" w:customStyle="1">
    <w:name w:val="citation-20"/>
    <w:basedOn w:val="DefaultParagraphFont"/>
    <w:qFormat/>
    <w:rsid w:val="005c247d"/>
    <w:rPr/>
  </w:style>
  <w:style w:type="character" w:styleId="Fontepargpadro">
    <w:name w:val="Fonte parág. padrão"/>
    <w:qFormat/>
    <w:rPr/>
  </w:style>
  <w:style w:type="paragraph" w:styleId="Ttulo" w:customStyle="1">
    <w:name w:val="Título"/>
    <w:basedOn w:val="Normal"/>
    <w:next w:val="Corpodotexto"/>
    <w:qFormat/>
    <w:rsid w:val="008761d4"/>
    <w:pPr>
      <w:keepNext w:val="true"/>
      <w:spacing w:before="240" w:after="120"/>
    </w:pPr>
    <w:rPr>
      <w:rFonts w:ascii="Liberation Sans" w:hAnsi="Liberation Sans" w:eastAsia="Microsoft YaHei" w:cs="Arial"/>
      <w:sz w:val="28"/>
      <w:szCs w:val="28"/>
    </w:rPr>
  </w:style>
  <w:style w:type="paragraph" w:styleId="Corpodotexto">
    <w:name w:val="Body Text"/>
    <w:basedOn w:val="Normal"/>
    <w:rsid w:val="008761d4"/>
    <w:pPr>
      <w:spacing w:lineRule="auto" w:line="276" w:before="0" w:after="140"/>
    </w:pPr>
    <w:rPr/>
  </w:style>
  <w:style w:type="paragraph" w:styleId="Lista">
    <w:name w:val="List"/>
    <w:basedOn w:val="Corpodotexto"/>
    <w:rsid w:val="008761d4"/>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rsid w:val="008761d4"/>
    <w:pPr>
      <w:suppressLineNumbers/>
    </w:pPr>
    <w:rPr>
      <w:rFonts w:cs="Arial"/>
    </w:rPr>
  </w:style>
  <w:style w:type="paragraph" w:styleId="Ttulododocumento">
    <w:name w:val="Title"/>
    <w:basedOn w:val="Normal"/>
    <w:next w:val="Corpodotexto"/>
    <w:qFormat/>
    <w:rsid w:val="008761d4"/>
    <w:pPr>
      <w:keepNext w:val="true"/>
      <w:keepLines/>
      <w:spacing w:before="480" w:after="120"/>
    </w:pPr>
    <w:rPr>
      <w:b/>
      <w:sz w:val="72"/>
      <w:szCs w:val="72"/>
    </w:rPr>
  </w:style>
  <w:style w:type="paragraph" w:styleId="Caption">
    <w:name w:val="caption"/>
    <w:basedOn w:val="Normal"/>
    <w:qFormat/>
    <w:rsid w:val="008761d4"/>
    <w:pPr>
      <w:suppressLineNumbers/>
      <w:spacing w:before="120" w:after="120"/>
    </w:pPr>
    <w:rPr>
      <w:rFonts w:cs="Arial"/>
      <w:i/>
      <w:iCs/>
    </w:rPr>
  </w:style>
  <w:style w:type="paragraph" w:styleId="Caption1" w:customStyle="1">
    <w:name w:val="caption1"/>
    <w:basedOn w:val="Normal"/>
    <w:qFormat/>
    <w:rsid w:val="008761d4"/>
    <w:pPr>
      <w:suppressLineNumbers/>
      <w:spacing w:before="120" w:after="120"/>
    </w:pPr>
    <w:rPr>
      <w:rFonts w:cs="Arial"/>
      <w:i/>
      <w:iCs/>
    </w:rPr>
  </w:style>
  <w:style w:type="paragraph" w:styleId="Caption11" w:customStyle="1">
    <w:name w:val="caption11"/>
    <w:basedOn w:val="Normal"/>
    <w:qFormat/>
    <w:rsid w:val="008761d4"/>
    <w:pPr>
      <w:suppressLineNumbers/>
      <w:spacing w:before="120" w:after="120"/>
    </w:pPr>
    <w:rPr>
      <w:rFonts w:cs="Arial"/>
      <w:i/>
      <w:iCs/>
    </w:rPr>
  </w:style>
  <w:style w:type="paragraph" w:styleId="Caption111" w:customStyle="1">
    <w:name w:val="caption111"/>
    <w:basedOn w:val="Normal"/>
    <w:qFormat/>
    <w:rsid w:val="008761d4"/>
    <w:pPr>
      <w:suppressLineNumbers/>
      <w:spacing w:before="120" w:after="120"/>
    </w:pPr>
    <w:rPr>
      <w:rFonts w:cs="Arial"/>
      <w:i/>
      <w:iCs/>
    </w:rPr>
  </w:style>
  <w:style w:type="paragraph" w:styleId="Corpodotextorecuado">
    <w:name w:val="Body Text Indent"/>
    <w:basedOn w:val="Normal"/>
    <w:rsid w:val="008761d4"/>
    <w:pPr>
      <w:ind w:left="851" w:firstLine="3118"/>
      <w:jc w:val="both"/>
    </w:pPr>
    <w:rPr>
      <w:sz w:val="28"/>
      <w:szCs w:val="20"/>
    </w:rPr>
  </w:style>
  <w:style w:type="paragraph" w:styleId="BodyTextIndent2">
    <w:name w:val="Body Text Indent 2"/>
    <w:basedOn w:val="Normal"/>
    <w:qFormat/>
    <w:rsid w:val="008761d4"/>
    <w:pPr>
      <w:ind w:left="1080" w:firstLine="2889"/>
      <w:jc w:val="both"/>
    </w:pPr>
    <w:rPr>
      <w:bCs/>
      <w:sz w:val="25"/>
      <w:szCs w:val="28"/>
    </w:rPr>
  </w:style>
  <w:style w:type="paragraph" w:styleId="CabealhoeRodap" w:customStyle="1">
    <w:name w:val="Cabeçalho e Rodapé"/>
    <w:basedOn w:val="Normal"/>
    <w:qFormat/>
    <w:rsid w:val="008761d4"/>
    <w:pPr/>
    <w:rPr/>
  </w:style>
  <w:style w:type="paragraph" w:styleId="Cabealhoerodap1" w:customStyle="1">
    <w:name w:val="Cabeçalho e rodapé1"/>
    <w:basedOn w:val="Normal"/>
    <w:qFormat/>
    <w:rsid w:val="008761d4"/>
    <w:pPr/>
    <w:rPr/>
  </w:style>
  <w:style w:type="paragraph" w:styleId="Cabealhoerodap2" w:customStyle="1">
    <w:name w:val="Cabeçalho e rodapé2"/>
    <w:basedOn w:val="Normal"/>
    <w:qFormat/>
    <w:rsid w:val="008761d4"/>
    <w:pPr/>
    <w:rPr/>
  </w:style>
  <w:style w:type="paragraph" w:styleId="Cabealhoerodap3" w:customStyle="1">
    <w:name w:val="Cabeçalho e rodapé3"/>
    <w:basedOn w:val="Normal"/>
    <w:qFormat/>
    <w:rsid w:val="008761d4"/>
    <w:pPr/>
    <w:rPr/>
  </w:style>
  <w:style w:type="paragraph" w:styleId="Cabealhoerodap4" w:customStyle="1">
    <w:name w:val="Cabeçalho e rodapé4"/>
    <w:basedOn w:val="Normal"/>
    <w:qFormat/>
    <w:rsid w:val="008761d4"/>
    <w:pPr/>
    <w:rPr/>
  </w:style>
  <w:style w:type="paragraph" w:styleId="Cabealhoerodap5" w:customStyle="1">
    <w:name w:val="Cabeçalho e rodapé5"/>
    <w:basedOn w:val="Normal"/>
    <w:qFormat/>
    <w:rsid w:val="008761d4"/>
    <w:pPr/>
    <w:rPr/>
  </w:style>
  <w:style w:type="paragraph" w:styleId="Cabealhoerodap6" w:customStyle="1">
    <w:name w:val="Cabeçalho e rodapé6"/>
    <w:basedOn w:val="Normal"/>
    <w:qFormat/>
    <w:rsid w:val="008761d4"/>
    <w:pPr/>
    <w:rPr/>
  </w:style>
  <w:style w:type="paragraph" w:styleId="Cabealhoerodap7" w:customStyle="1">
    <w:name w:val="Cabeçalho e rodapé7"/>
    <w:basedOn w:val="Normal"/>
    <w:qFormat/>
    <w:rsid w:val="008761d4"/>
    <w:pPr/>
    <w:rPr/>
  </w:style>
  <w:style w:type="paragraph" w:styleId="Cabealhoerodap8" w:customStyle="1">
    <w:name w:val="Cabeçalho e rodapé8"/>
    <w:basedOn w:val="Normal"/>
    <w:qFormat/>
    <w:rsid w:val="008761d4"/>
    <w:pPr/>
    <w:rPr/>
  </w:style>
  <w:style w:type="paragraph" w:styleId="Cabealhoerodap9" w:customStyle="1">
    <w:name w:val="Cabeçalho e rodapé9"/>
    <w:basedOn w:val="Normal"/>
    <w:qFormat/>
    <w:rsid w:val="008761d4"/>
    <w:pPr/>
    <w:rPr/>
  </w:style>
  <w:style w:type="paragraph" w:styleId="Cabealhoerodap10" w:customStyle="1">
    <w:name w:val="Cabeçalho e rodapé10"/>
    <w:basedOn w:val="Normal"/>
    <w:qFormat/>
    <w:rsid w:val="008761d4"/>
    <w:pPr/>
    <w:rPr/>
  </w:style>
  <w:style w:type="paragraph" w:styleId="Cabealhoerodap11" w:customStyle="1">
    <w:name w:val="Cabeçalho e rodapé11"/>
    <w:basedOn w:val="Normal"/>
    <w:qFormat/>
    <w:rsid w:val="008761d4"/>
    <w:pPr/>
    <w:rPr/>
  </w:style>
  <w:style w:type="paragraph" w:styleId="Cabealhoerodap12" w:customStyle="1">
    <w:name w:val="Cabeçalho e rodapé12"/>
    <w:basedOn w:val="Normal"/>
    <w:qFormat/>
    <w:rsid w:val="008761d4"/>
    <w:pPr/>
    <w:rPr/>
  </w:style>
  <w:style w:type="paragraph" w:styleId="Cabealhoerodap13" w:customStyle="1">
    <w:name w:val="Cabeçalho e rodapé13"/>
    <w:basedOn w:val="Normal"/>
    <w:qFormat/>
    <w:rsid w:val="008761d4"/>
    <w:pPr/>
    <w:rPr/>
  </w:style>
  <w:style w:type="paragraph" w:styleId="Cabealho">
    <w:name w:val="Header"/>
    <w:basedOn w:val="Normal"/>
    <w:uiPriority w:val="99"/>
    <w:qFormat/>
    <w:rsid w:val="008761d4"/>
    <w:pPr>
      <w:tabs>
        <w:tab w:val="clear" w:pos="720"/>
        <w:tab w:val="center" w:pos="4252" w:leader="none"/>
        <w:tab w:val="right" w:pos="8504" w:leader="none"/>
      </w:tabs>
    </w:pPr>
    <w:rPr/>
  </w:style>
  <w:style w:type="paragraph" w:styleId="Rodap">
    <w:name w:val="Footer"/>
    <w:basedOn w:val="Normal"/>
    <w:qFormat/>
    <w:rsid w:val="008761d4"/>
    <w:pPr>
      <w:tabs>
        <w:tab w:val="clear" w:pos="720"/>
        <w:tab w:val="center" w:pos="4252" w:leader="none"/>
        <w:tab w:val="right" w:pos="8504" w:leader="none"/>
      </w:tabs>
    </w:pPr>
    <w:rPr/>
  </w:style>
  <w:style w:type="paragraph" w:styleId="BalloonText">
    <w:name w:val="Balloon Text"/>
    <w:basedOn w:val="Normal"/>
    <w:qFormat/>
    <w:rsid w:val="008761d4"/>
    <w:pPr/>
    <w:rPr>
      <w:rFonts w:ascii="Segoe UI" w:hAnsi="Segoe UI"/>
      <w:sz w:val="18"/>
      <w:szCs w:val="18"/>
    </w:rPr>
  </w:style>
  <w:style w:type="paragraph" w:styleId="BodyTextIndent3">
    <w:name w:val="Body Text Indent 3"/>
    <w:basedOn w:val="Normal"/>
    <w:qFormat/>
    <w:rsid w:val="008761d4"/>
    <w:pPr>
      <w:spacing w:before="0" w:after="120"/>
      <w:ind w:left="283" w:hanging="0"/>
    </w:pPr>
    <w:rPr>
      <w:sz w:val="16"/>
      <w:szCs w:val="16"/>
    </w:rPr>
  </w:style>
  <w:style w:type="paragraph" w:styleId="Default" w:customStyle="1">
    <w:name w:val="Default"/>
    <w:qFormat/>
    <w:rsid w:val="008761d4"/>
    <w:pPr>
      <w:widowControl/>
      <w:suppressAutoHyphens w:val="true"/>
      <w:bidi w:val="0"/>
      <w:spacing w:lineRule="atLeast" w:line="1" w:before="0" w:after="0"/>
      <w:ind w:left="-1" w:hanging="1"/>
      <w:jc w:val="left"/>
      <w:textAlignment w:val="top"/>
      <w:outlineLvl w:val="0"/>
    </w:pPr>
    <w:rPr>
      <w:rFonts w:ascii="Nyala" w:hAnsi="Nyala" w:eastAsia="Calibri" w:cs="Nyala"/>
      <w:color w:val="000000"/>
      <w:kern w:val="0"/>
      <w:sz w:val="24"/>
      <w:szCs w:val="24"/>
      <w:vertAlign w:val="subscript"/>
      <w:lang w:val="pt-BR" w:eastAsia="en-US" w:bidi="ar-SA"/>
    </w:rPr>
  </w:style>
  <w:style w:type="paragraph" w:styleId="Subttulo">
    <w:name w:val="Subtitle"/>
    <w:basedOn w:val="Normal"/>
    <w:next w:val="Normal"/>
    <w:qFormat/>
    <w:rsid w:val="008761d4"/>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8c672b"/>
    <w:pPr>
      <w:spacing w:before="0" w:after="0"/>
      <w:ind w:left="720" w:hanging="0"/>
      <w:contextualSpacing/>
    </w:pPr>
    <w:rPr/>
  </w:style>
  <w:style w:type="paragraph" w:styleId="Notaderodap">
    <w:name w:val="Footnote Text"/>
    <w:basedOn w:val="Normal"/>
    <w:link w:val="TextodenotaderodapChar"/>
    <w:uiPriority w:val="99"/>
    <w:semiHidden/>
    <w:unhideWhenUsed/>
    <w:rsid w:val="00663379"/>
    <w:pPr/>
    <w:rPr>
      <w:sz w:val="20"/>
      <w:szCs w:val="20"/>
    </w:rPr>
  </w:style>
  <w:style w:type="paragraph" w:styleId="LO-Normal" w:customStyle="1">
    <w:name w:val="LO-Normal"/>
    <w:qFormat/>
    <w:rsid w:val="00094c56"/>
    <w:pPr>
      <w:widowControl w:val="false"/>
      <w:suppressAutoHyphens w:val="true"/>
      <w:bidi w:val="0"/>
      <w:spacing w:before="0" w:after="0"/>
      <w:jc w:val="left"/>
      <w:textAlignment w:val="baseline"/>
    </w:pPr>
    <w:rPr>
      <w:rFonts w:ascii="Times New Roman" w:hAnsi="Times New Roman" w:eastAsia="SimSun" w:cs="Tahoma"/>
      <w:color w:val="auto"/>
      <w:kern w:val="2"/>
      <w:sz w:val="24"/>
      <w:szCs w:val="24"/>
      <w:lang w:val="pt-BR" w:eastAsia="hi-IN" w:bidi="hi-IN"/>
    </w:rPr>
  </w:style>
  <w:style w:type="paragraph" w:styleId="TableParagraph" w:customStyle="1">
    <w:name w:val="Table Paragraph"/>
    <w:basedOn w:val="Normal"/>
    <w:uiPriority w:val="1"/>
    <w:qFormat/>
    <w:rsid w:val="000920f6"/>
    <w:pPr>
      <w:widowControl w:val="false"/>
    </w:pPr>
    <w:rPr>
      <w:sz w:val="22"/>
      <w:szCs w:val="22"/>
      <w:lang w:val="pt-PT" w:eastAsia="en-US"/>
    </w:rPr>
  </w:style>
  <w:style w:type="paragraph" w:styleId="Contedodoquadro" w:customStyle="1">
    <w:name w:val="Conteúdo do quadro"/>
    <w:basedOn w:val="Normal"/>
    <w:qFormat/>
    <w:rsid w:val="008761d4"/>
    <w:pPr/>
    <w:rPr/>
  </w:style>
  <w:style w:type="paragraph" w:styleId="Contedodatabela" w:customStyle="1">
    <w:name w:val="Conteúdo da tabela"/>
    <w:basedOn w:val="Normal"/>
    <w:qFormat/>
    <w:rsid w:val="008761d4"/>
    <w:pPr>
      <w:widowControl w:val="false"/>
      <w:suppressLineNumbers/>
    </w:pPr>
    <w:rPr/>
  </w:style>
  <w:style w:type="paragraph" w:styleId="Ttulodetabela" w:customStyle="1">
    <w:name w:val="Título de tabela"/>
    <w:basedOn w:val="Contedodatabela"/>
    <w:qFormat/>
    <w:rsid w:val="008761d4"/>
    <w:pPr>
      <w:jc w:val="center"/>
    </w:pPr>
    <w:rPr>
      <w:b/>
      <w:bCs/>
    </w:rPr>
  </w:style>
  <w:style w:type="paragraph" w:styleId="NormalWeb">
    <w:name w:val="Normal (Web)"/>
    <w:basedOn w:val="Normal"/>
    <w:uiPriority w:val="99"/>
    <w:unhideWhenUsed/>
    <w:qFormat/>
    <w:rsid w:val="00143dc1"/>
    <w:pPr>
      <w:spacing w:beforeAutospacing="1" w:afterAutospacing="1"/>
    </w:pPr>
    <w:rPr/>
  </w:style>
  <w:style w:type="paragraph" w:styleId="Blocodecitao" w:customStyle="1">
    <w:name w:val="Bloco de citação"/>
    <w:basedOn w:val="Normal"/>
    <w:qFormat/>
    <w:rsid w:val="008761d4"/>
    <w:pPr>
      <w:spacing w:before="0" w:after="283"/>
      <w:ind w:left="567" w:right="567" w:hanging="0"/>
    </w:pPr>
    <w:rPr/>
  </w:style>
  <w:style w:type="paragraph" w:styleId="Notadefim">
    <w:name w:val="Endnote Text"/>
    <w:basedOn w:val="Normal"/>
    <w:link w:val="TextodenotadefimChar"/>
    <w:uiPriority w:val="99"/>
    <w:semiHidden/>
    <w:unhideWhenUsed/>
    <w:rsid w:val="002d059c"/>
    <w:pPr/>
    <w:rPr>
      <w:sz w:val="20"/>
      <w:szCs w:val="20"/>
    </w:rPr>
  </w:style>
  <w:style w:type="paragraph" w:styleId="Annotationtext">
    <w:name w:val="annotation text"/>
    <w:basedOn w:val="Normal"/>
    <w:qFormat/>
    <w:rsid w:val="008761d4"/>
    <w:pPr/>
    <w:rPr>
      <w:sz w:val="20"/>
      <w:szCs w:val="20"/>
    </w:rPr>
  </w:style>
  <w:style w:type="paragraph" w:styleId="Cabealhoerodap51" w:customStyle="1">
    <w:name w:val="Cabeçalho e rodapé51"/>
    <w:basedOn w:val="Normal"/>
    <w:qFormat/>
    <w:rsid w:val="008761d4"/>
    <w:pPr/>
    <w:rPr/>
  </w:style>
  <w:style w:type="paragraph" w:styleId="Cabealhoerodap41" w:customStyle="1">
    <w:name w:val="Cabeçalho e rodapé41"/>
    <w:basedOn w:val="Normal"/>
    <w:qFormat/>
    <w:rsid w:val="008761d4"/>
    <w:pPr/>
    <w:rPr/>
  </w:style>
  <w:style w:type="paragraph" w:styleId="Standard" w:customStyle="1">
    <w:name w:val="Standard"/>
    <w:qFormat/>
    <w:rsid w:val="00ee48d4"/>
    <w:pPr>
      <w:widowControl/>
      <w:suppressAutoHyphens w:val="true"/>
      <w:bidi w:val="0"/>
      <w:spacing w:lineRule="atLeast" w:line="1" w:before="0" w:after="0"/>
      <w:ind w:left="-1" w:hanging="1"/>
      <w:jc w:val="left"/>
      <w:textAlignment w:val="top"/>
      <w:outlineLvl w:val="0"/>
    </w:pPr>
    <w:rPr>
      <w:rFonts w:ascii="Times New Roman" w:hAnsi="Times New Roman" w:eastAsia="Times New Roman" w:cs="Times New Roman"/>
      <w:color w:val="auto"/>
      <w:kern w:val="0"/>
      <w:sz w:val="24"/>
      <w:szCs w:val="24"/>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rsid w:val="008761d4"/>
    <w:tblPr>
      <w:tblCellMar>
        <w:top w:w="0" w:type="dxa"/>
        <w:left w:w="0" w:type="dxa"/>
        <w:bottom w:w="0" w:type="dxa"/>
        <w:right w:w="0" w:type="dxa"/>
      </w:tblCellMar>
    </w:tblPr>
  </w:style>
  <w:style w:type="table" w:customStyle="1" w:styleId="TableNormal1">
    <w:name w:val="Table Normal1"/>
    <w:rsid w:val="008761d4"/>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eNormal3">
    <w:name w:val="Table Normal3"/>
    <w:uiPriority w:val="2"/>
    <w:semiHidden/>
    <w:unhideWhenUsed/>
    <w:qFormat/>
    <w:rsid w:val="00f27bf0"/>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 w:type="table" w:customStyle="1" w:styleId="Tabelacomgrade1">
    <w:name w:val="Tabela com grade1"/>
    <w:basedOn w:val="Tabelanormal"/>
    <w:uiPriority w:val="39"/>
    <w:rsid w:val="00af6594"/>
    <w:rPr>
      <w:rFonts w:asciiTheme="minorHAnsi" w:hAnsi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financeiro@alexandrecomercial.com" TargetMode="External"/><Relationship Id="rId3" Type="http://schemas.openxmlformats.org/officeDocument/2006/relationships/hyperlink" Target="mailto:raphael@rm.alimentos.com.br" TargetMode="External"/><Relationship Id="rId4" Type="http://schemas.openxmlformats.org/officeDocument/2006/relationships/hyperlink" Target="mailto:crfalimentos22@gmail.com" TargetMode="External"/><Relationship Id="rId5" Type="http://schemas.openxmlformats.org/officeDocument/2006/relationships/hyperlink" Target="mailto:monteiro.maro@gmail.com" TargetMode="External"/><Relationship Id="rId6" Type="http://schemas.openxmlformats.org/officeDocument/2006/relationships/hyperlink" Target="mailto:aguiataque@hotmail.com" TargetMode="External"/><Relationship Id="rId7" Type="http://schemas.openxmlformats.org/officeDocument/2006/relationships/hyperlink" Target="mailto:ro91624420@gmail.com" TargetMode="External"/><Relationship Id="rId8" Type="http://schemas.openxmlformats.org/officeDocument/2006/relationships/image" Target="media/image1.wmf"/><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BACBE6DC-21BA-40EA-ADF8-66446B463F6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871</TotalTime>
  <Application>LibreOffice/7.5.0.3$Windows_X86_64 LibreOffice_project/c21113d003cd3efa8c53188764377a8272d9d6de</Application>
  <AppVersion>15.0000</AppVersion>
  <Pages>23</Pages>
  <Words>9746</Words>
  <Characters>59541</Characters>
  <CharactersWithSpaces>68985</CharactersWithSpaces>
  <Paragraphs>513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2026-02-09T14:17:00Z</dcterms:created>
  <dc:creator>x</dc:creator>
  <dc:description/>
  <dc:language>pt-BR</dc:language>
  <cp:lastModifiedBy/>
  <cp:lastPrinted>2026-03-11T08:19:52Z</cp:lastPrinted>
  <dcterms:modified xsi:type="dcterms:W3CDTF">2026-03-11T08:23:35Z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file>